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spacing w:before="99"/>
        <w:ind w:left="91" w:right="0" w:firstLine="0"/>
        <w:jc w:val="center"/>
        <w:rPr>
          <w:b/>
          <w:sz w:val="112"/>
        </w:rPr>
      </w:pPr>
      <w:r>
        <w:rPr>
          <w:b/>
          <w:w w:val="90"/>
          <w:sz w:val="112"/>
        </w:rPr>
        <w:t>招 标 文 件</w:t>
      </w:r>
    </w:p>
    <w:p>
      <w:pPr>
        <w:pStyle w:val="2"/>
        <w:spacing w:before="4"/>
        <w:rPr>
          <w:b/>
          <w:sz w:val="147"/>
        </w:rPr>
      </w:pPr>
    </w:p>
    <w:p>
      <w:pPr>
        <w:pStyle w:val="5"/>
        <w:ind w:left="19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40408</w:t>
      </w:r>
    </w:p>
    <w:p>
      <w:pPr>
        <w:spacing w:before="214"/>
        <w:ind w:left="1896" w:right="0" w:firstLine="0"/>
        <w:jc w:val="left"/>
        <w:rPr>
          <w:rFonts w:hint="eastAsia" w:eastAsia="宋体"/>
          <w:sz w:val="32"/>
          <w:lang w:eastAsia="zh-CN"/>
        </w:rPr>
      </w:pPr>
      <w:r>
        <w:rPr>
          <w:sz w:val="32"/>
        </w:rPr>
        <w:t>项目名称：华丹医药</w:t>
      </w:r>
      <w:r>
        <w:rPr>
          <w:rFonts w:hint="eastAsia"/>
          <w:sz w:val="32"/>
          <w:lang w:eastAsia="zh-CN"/>
        </w:rPr>
        <w:t>在线运维服务项目</w:t>
      </w:r>
    </w:p>
    <w:p>
      <w:pPr>
        <w:pStyle w:val="2"/>
        <w:rPr>
          <w:sz w:val="34"/>
        </w:rPr>
      </w:pPr>
    </w:p>
    <w:p>
      <w:pPr>
        <w:pStyle w:val="2"/>
        <w:rPr>
          <w:sz w:val="34"/>
        </w:rPr>
      </w:pPr>
    </w:p>
    <w:p>
      <w:pPr>
        <w:pStyle w:val="2"/>
        <w:rPr>
          <w:sz w:val="34"/>
        </w:rPr>
      </w:pPr>
    </w:p>
    <w:p>
      <w:pPr>
        <w:pStyle w:val="2"/>
        <w:rPr>
          <w:sz w:val="34"/>
        </w:rPr>
      </w:pPr>
    </w:p>
    <w:p>
      <w:pPr>
        <w:pStyle w:val="2"/>
        <w:rPr>
          <w:sz w:val="34"/>
        </w:rPr>
      </w:pPr>
    </w:p>
    <w:p>
      <w:pPr>
        <w:pStyle w:val="2"/>
        <w:rPr>
          <w:sz w:val="34"/>
        </w:rPr>
      </w:pPr>
    </w:p>
    <w:p>
      <w:pPr>
        <w:pStyle w:val="2"/>
        <w:rPr>
          <w:sz w:val="34"/>
        </w:rPr>
      </w:pPr>
    </w:p>
    <w:p>
      <w:pPr>
        <w:pStyle w:val="2"/>
        <w:spacing w:before="7"/>
        <w:rPr>
          <w:sz w:val="46"/>
        </w:rPr>
      </w:pPr>
    </w:p>
    <w:p>
      <w:pPr>
        <w:spacing w:before="0"/>
        <w:ind w:left="1780" w:right="0" w:firstLine="0"/>
        <w:jc w:val="left"/>
        <w:rPr>
          <w:sz w:val="32"/>
        </w:rPr>
      </w:pPr>
      <w:r>
        <w:rPr>
          <w:sz w:val="32"/>
        </w:rPr>
        <w:t>招标机构：湖北华丹医药科技股份有限公司</w:t>
      </w:r>
    </w:p>
    <w:p>
      <w:pPr>
        <w:spacing w:before="214"/>
        <w:ind w:left="4180" w:right="0" w:firstLine="0"/>
        <w:jc w:val="left"/>
        <w:rPr>
          <w:sz w:val="32"/>
        </w:rPr>
      </w:pPr>
      <w:r>
        <w:rPr>
          <w:sz w:val="32"/>
        </w:rPr>
        <w:t>二零二</w:t>
      </w:r>
      <w:r>
        <w:rPr>
          <w:rFonts w:hint="eastAsia"/>
          <w:sz w:val="32"/>
          <w:lang w:eastAsia="zh-CN"/>
        </w:rPr>
        <w:t>四</w:t>
      </w:r>
      <w:r>
        <w:rPr>
          <w:sz w:val="32"/>
        </w:rPr>
        <w:t>年</w:t>
      </w:r>
      <w:r>
        <w:rPr>
          <w:rFonts w:hint="eastAsia"/>
          <w:sz w:val="32"/>
          <w:lang w:eastAsia="zh-CN"/>
        </w:rPr>
        <w:t>四</w:t>
      </w:r>
      <w:r>
        <w:rPr>
          <w:sz w:val="32"/>
        </w:rPr>
        <w:t>月</w:t>
      </w:r>
    </w:p>
    <w:p>
      <w:pPr>
        <w:spacing w:after="0"/>
        <w:jc w:val="left"/>
        <w:rPr>
          <w:sz w:val="32"/>
        </w:rPr>
        <w:sectPr>
          <w:footerReference r:id="rId5" w:type="default"/>
          <w:type w:val="continuous"/>
          <w:pgSz w:w="11910" w:h="16840"/>
          <w:pgMar w:top="1580" w:right="860" w:bottom="1160" w:left="1500" w:header="720" w:footer="979" w:gutter="0"/>
          <w:pgNumType w:fmt="decimal" w:start="1"/>
          <w:cols w:space="720" w:num="1"/>
        </w:sectPr>
      </w:pPr>
    </w:p>
    <w:p>
      <w:pPr>
        <w:pStyle w:val="2"/>
        <w:spacing w:before="10"/>
        <w:rPr>
          <w:sz w:val="8"/>
        </w:rPr>
      </w:pPr>
    </w:p>
    <w:p>
      <w:pPr>
        <w:tabs>
          <w:tab w:val="left" w:pos="1892"/>
        </w:tabs>
        <w:spacing w:before="0" w:line="922" w:lineRule="exact"/>
        <w:ind w:left="92" w:right="0" w:firstLine="0"/>
        <w:jc w:val="center"/>
        <w:rPr>
          <w:sz w:val="72"/>
        </w:rPr>
      </w:pPr>
      <w:r>
        <w:rPr>
          <w:sz w:val="72"/>
        </w:rPr>
        <w:t>目</w:t>
      </w:r>
      <w:r>
        <w:rPr>
          <w:sz w:val="72"/>
        </w:rPr>
        <w:tab/>
      </w:r>
      <w:r>
        <w:rPr>
          <w:sz w:val="72"/>
        </w:rPr>
        <w:t>录</w:t>
      </w:r>
    </w:p>
    <w:p>
      <w:pPr>
        <w:pStyle w:val="2"/>
        <w:spacing w:before="1"/>
        <w:rPr>
          <w:sz w:val="94"/>
        </w:rPr>
      </w:pPr>
    </w:p>
    <w:p>
      <w:pPr>
        <w:pStyle w:val="4"/>
        <w:tabs>
          <w:tab w:val="left" w:pos="2702"/>
        </w:tabs>
        <w:spacing w:before="0"/>
      </w:pPr>
      <w:r>
        <w:t>第一章</w:t>
      </w:r>
      <w:r>
        <w:tab/>
      </w:r>
      <w:r>
        <w:t>投标邀请</w:t>
      </w:r>
    </w:p>
    <w:p>
      <w:pPr>
        <w:tabs>
          <w:tab w:val="left" w:pos="2702"/>
        </w:tabs>
        <w:spacing w:before="214"/>
        <w:ind w:left="619" w:right="0" w:firstLine="0"/>
        <w:jc w:val="left"/>
        <w:rPr>
          <w:b/>
          <w:sz w:val="32"/>
        </w:rPr>
      </w:pPr>
      <w:r>
        <w:rPr>
          <w:b/>
          <w:sz w:val="32"/>
        </w:rPr>
        <w:t>第二章</w:t>
      </w:r>
      <w:r>
        <w:rPr>
          <w:b/>
          <w:sz w:val="32"/>
        </w:rPr>
        <w:tab/>
      </w:r>
      <w:r>
        <w:rPr>
          <w:b/>
          <w:sz w:val="32"/>
        </w:rPr>
        <w:t>投标资料表</w:t>
      </w:r>
    </w:p>
    <w:p>
      <w:pPr>
        <w:tabs>
          <w:tab w:val="left" w:pos="2702"/>
        </w:tabs>
        <w:spacing w:before="214"/>
        <w:ind w:left="619" w:right="0" w:firstLine="0"/>
        <w:jc w:val="left"/>
        <w:rPr>
          <w:b/>
          <w:sz w:val="32"/>
        </w:rPr>
      </w:pPr>
      <w:r>
        <w:rPr>
          <w:b/>
          <w:sz w:val="32"/>
        </w:rPr>
        <w:t>第三章</w:t>
      </w:r>
      <w:r>
        <w:rPr>
          <w:b/>
          <w:sz w:val="32"/>
        </w:rPr>
        <w:tab/>
      </w:r>
      <w:r>
        <w:rPr>
          <w:b/>
          <w:sz w:val="32"/>
        </w:rPr>
        <w:t>合同主要内容及条款</w:t>
      </w:r>
    </w:p>
    <w:p>
      <w:pPr>
        <w:spacing w:after="0"/>
        <w:jc w:val="left"/>
        <w:rPr>
          <w:sz w:val="32"/>
        </w:rPr>
        <w:sectPr>
          <w:pgSz w:w="11910" w:h="16840"/>
          <w:pgMar w:top="1580" w:right="860" w:bottom="1160" w:left="1500" w:header="0" w:footer="979" w:gutter="0"/>
          <w:pgNumType w:fmt="decimal"/>
          <w:cols w:space="720" w:num="1"/>
        </w:sectPr>
      </w:pPr>
    </w:p>
    <w:p>
      <w:pPr>
        <w:tabs>
          <w:tab w:val="left" w:pos="1534"/>
        </w:tabs>
        <w:spacing w:before="28"/>
        <w:ind w:left="92" w:right="0" w:firstLine="0"/>
        <w:jc w:val="center"/>
        <w:rPr>
          <w:b/>
          <w:sz w:val="32"/>
        </w:rPr>
      </w:pPr>
      <w:r>
        <w:rPr>
          <w:b/>
          <w:sz w:val="32"/>
        </w:rPr>
        <w:t>第一章</w:t>
      </w:r>
      <w:r>
        <w:rPr>
          <w:b/>
          <w:sz w:val="32"/>
        </w:rPr>
        <w:tab/>
      </w:r>
      <w:r>
        <w:rPr>
          <w:b/>
          <w:sz w:val="32"/>
        </w:rPr>
        <w:t>投标邀请</w:t>
      </w:r>
    </w:p>
    <w:p>
      <w:pPr>
        <w:pStyle w:val="2"/>
        <w:rPr>
          <w:b/>
          <w:sz w:val="20"/>
        </w:rPr>
      </w:pPr>
    </w:p>
    <w:p>
      <w:pPr>
        <w:pStyle w:val="2"/>
        <w:spacing w:before="6"/>
        <w:rPr>
          <w:b/>
          <w:sz w:val="26"/>
        </w:rPr>
      </w:pPr>
    </w:p>
    <w:p>
      <w:pPr>
        <w:pStyle w:val="2"/>
        <w:spacing w:before="76"/>
        <w:ind w:left="3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40408</w:t>
      </w:r>
    </w:p>
    <w:p>
      <w:pPr>
        <w:pStyle w:val="2"/>
        <w:spacing w:before="3"/>
        <w:rPr>
          <w:rFonts w:ascii="Times New Roman"/>
          <w:sz w:val="17"/>
        </w:rPr>
      </w:pPr>
    </w:p>
    <w:p>
      <w:pPr>
        <w:pStyle w:val="2"/>
        <w:spacing w:before="1"/>
        <w:ind w:left="300"/>
        <w:rPr>
          <w:rFonts w:hint="eastAsia" w:ascii="Times New Roman" w:eastAsia="宋体"/>
          <w:lang w:eastAsia="zh-CN"/>
        </w:rPr>
      </w:pPr>
      <w:r>
        <w:t>招标公告发布日期：</w:t>
      </w:r>
      <w:r>
        <w:rPr>
          <w:rFonts w:ascii="Times New Roman" w:eastAsia="Times New Roman"/>
        </w:rPr>
        <w:t>202</w:t>
      </w:r>
      <w:r>
        <w:rPr>
          <w:rFonts w:hint="eastAsia" w:ascii="Times New Roman"/>
          <w:lang w:val="en-US" w:eastAsia="zh-CN"/>
        </w:rPr>
        <w:t>4</w:t>
      </w:r>
      <w:r>
        <w:rPr>
          <w:rFonts w:ascii="Times New Roman" w:eastAsia="Times New Roman"/>
        </w:rPr>
        <w:t xml:space="preserve">- </w:t>
      </w:r>
      <w:r>
        <w:rPr>
          <w:rFonts w:hint="eastAsia" w:ascii="Times New Roman"/>
          <w:lang w:val="en-US" w:eastAsia="zh-CN"/>
        </w:rPr>
        <w:t>04</w:t>
      </w:r>
      <w:r>
        <w:rPr>
          <w:rFonts w:ascii="Times New Roman" w:eastAsia="Times New Roman"/>
        </w:rPr>
        <w:t xml:space="preserve"> -</w:t>
      </w:r>
      <w:r>
        <w:rPr>
          <w:rFonts w:hint="eastAsia" w:ascii="Times New Roman"/>
          <w:lang w:val="en-US" w:eastAsia="zh-CN"/>
        </w:rPr>
        <w:t>08</w:t>
      </w:r>
    </w:p>
    <w:p>
      <w:pPr>
        <w:pStyle w:val="2"/>
        <w:rPr>
          <w:rFonts w:ascii="Times New Roman"/>
          <w:sz w:val="22"/>
        </w:rPr>
      </w:pPr>
    </w:p>
    <w:p>
      <w:pPr>
        <w:pStyle w:val="2"/>
        <w:rPr>
          <w:rFonts w:ascii="Times New Roman"/>
          <w:sz w:val="22"/>
        </w:rPr>
      </w:pPr>
    </w:p>
    <w:p>
      <w:pPr>
        <w:pStyle w:val="2"/>
        <w:spacing w:line="355" w:lineRule="auto"/>
        <w:ind w:right="205" w:firstLine="630" w:firstLineChars="300"/>
      </w:pPr>
      <w:r>
        <w:t>１、湖北华丹医药科技股份有限公司（以下简称</w:t>
      </w:r>
      <w:r>
        <w:rPr>
          <w:rFonts w:ascii="Times New Roman" w:hAnsi="Times New Roman" w:eastAsia="Times New Roman"/>
        </w:rPr>
        <w:t>“</w:t>
      </w:r>
      <w:r>
        <w:t>招标机构</w:t>
      </w:r>
      <w:r>
        <w:rPr>
          <w:rFonts w:ascii="Times New Roman" w:hAnsi="Times New Roman" w:eastAsia="Times New Roman"/>
        </w:rPr>
        <w:t>”</w:t>
      </w:r>
      <w:r>
        <w:t>）就公司</w:t>
      </w:r>
      <w:r>
        <w:rPr>
          <w:rFonts w:ascii="Times New Roman" w:hAnsi="Times New Roman" w:eastAsia="Times New Roman"/>
        </w:rPr>
        <w:t>“</w:t>
      </w:r>
      <w:r>
        <w:t>华丹医药</w:t>
      </w:r>
      <w:r>
        <w:rPr>
          <w:rFonts w:hint="eastAsia"/>
          <w:lang w:eastAsia="zh-CN"/>
        </w:rPr>
        <w:t>污水</w:t>
      </w:r>
      <w:r>
        <w:rPr>
          <w:rFonts w:hint="eastAsia" w:ascii="Times New Roman" w:hAnsi="Times New Roman"/>
          <w:lang w:eastAsia="zh-CN"/>
        </w:rPr>
        <w:t>在线监测设备（</w:t>
      </w:r>
      <w:r>
        <w:rPr>
          <w:rFonts w:hint="eastAsia" w:ascii="宋体" w:hAnsi="宋体" w:eastAsia="宋体" w:cs="宋体"/>
          <w:lang w:val="en-US" w:eastAsia="zh-CN"/>
        </w:rPr>
        <w:t>COD在线仪，氨氮在线仪，环保数采仪，明渠流量计，PH</w:t>
      </w:r>
      <w:r>
        <w:rPr>
          <w:rFonts w:hint="eastAsia" w:ascii="宋体" w:hAnsi="宋体" w:eastAsia="宋体" w:cs="宋体"/>
          <w:lang w:eastAsia="zh-CN"/>
        </w:rPr>
        <w:t>）运维服</w:t>
      </w:r>
      <w:r>
        <w:rPr>
          <w:rFonts w:hint="eastAsia" w:ascii="Times New Roman" w:hAnsi="Times New Roman"/>
          <w:lang w:eastAsia="zh-CN"/>
        </w:rPr>
        <w:t>务项目</w:t>
      </w:r>
      <w:r>
        <w:rPr>
          <w:rFonts w:ascii="Times New Roman" w:hAnsi="Times New Roman" w:eastAsia="Times New Roman"/>
        </w:rPr>
        <w:t>”</w:t>
      </w:r>
      <w:r>
        <w:t>和有关的服务邀请合格投标人提交</w:t>
      </w:r>
      <w:r>
        <w:rPr>
          <w:b/>
        </w:rPr>
        <w:t>密封投标</w:t>
      </w:r>
      <w:r>
        <w:t>。</w:t>
      </w:r>
    </w:p>
    <w:p>
      <w:pPr>
        <w:pStyle w:val="2"/>
        <w:spacing w:line="417" w:lineRule="auto"/>
        <w:ind w:left="732" w:leftChars="247" w:right="207" w:hanging="189" w:hangingChars="90"/>
      </w:pPr>
      <w:r>
        <w:t>２、有意向投标的合格投标人可从湖北华丹医药科技股份有限公司现场得到进一步的信息和查阅招标文件。</w:t>
      </w:r>
    </w:p>
    <w:p>
      <w:pPr>
        <w:pStyle w:val="2"/>
        <w:spacing w:line="417" w:lineRule="auto"/>
        <w:ind w:left="715" w:leftChars="247" w:right="200" w:hanging="172" w:hangingChars="90"/>
        <w:jc w:val="both"/>
        <w:rPr>
          <w:b/>
        </w:rPr>
      </w:pPr>
      <w:r>
        <w:rPr>
          <w:rFonts w:hint="eastAsia"/>
          <w:spacing w:val="-9"/>
          <w:lang w:val="en-US" w:eastAsia="zh-CN"/>
        </w:rPr>
        <w:t>3</w:t>
      </w:r>
      <w:r>
        <w:rPr>
          <w:spacing w:val="-9"/>
        </w:rPr>
        <w:t xml:space="preserve">、所有投标书应于 </w:t>
      </w:r>
      <w:r>
        <w:rPr>
          <w:rFonts w:ascii="Times New Roman" w:eastAsia="Times New Roman"/>
        </w:rPr>
        <w:t>202</w:t>
      </w:r>
      <w:r>
        <w:rPr>
          <w:rFonts w:hint="eastAsia" w:ascii="Times New Roman"/>
          <w:lang w:val="en-US" w:eastAsia="zh-CN"/>
        </w:rPr>
        <w:t>4</w:t>
      </w:r>
      <w:r>
        <w:rPr>
          <w:rFonts w:ascii="Times New Roman" w:eastAsia="Times New Roman"/>
        </w:rPr>
        <w:t xml:space="preserve"> </w:t>
      </w:r>
      <w:r>
        <w:t>年</w:t>
      </w:r>
      <w:r>
        <w:rPr>
          <w:rFonts w:hint="eastAsia" w:ascii="Times New Roman"/>
          <w:u w:val="single"/>
          <w:lang w:val="en-US" w:eastAsia="zh-CN"/>
        </w:rPr>
        <w:t>04</w:t>
      </w:r>
      <w:r>
        <w:t>月</w:t>
      </w:r>
      <w:r>
        <w:rPr>
          <w:rFonts w:hint="eastAsia"/>
          <w:u w:val="single"/>
          <w:lang w:val="en-US" w:eastAsia="zh-CN"/>
        </w:rPr>
        <w:t>15</w:t>
      </w:r>
      <w:r>
        <w:rPr>
          <w:spacing w:val="-13"/>
        </w:rPr>
        <w:t xml:space="preserve">日上午 </w:t>
      </w:r>
      <w:r>
        <w:rPr>
          <w:rFonts w:ascii="Times New Roman" w:eastAsia="Times New Roman"/>
          <w:spacing w:val="-4"/>
        </w:rPr>
        <w:t>8:30</w:t>
      </w:r>
      <w:r>
        <w:rPr>
          <w:spacing w:val="-4"/>
        </w:rPr>
        <w:t>（</w:t>
      </w:r>
      <w:r>
        <w:t>北京时间</w:t>
      </w:r>
      <w:r>
        <w:rPr>
          <w:spacing w:val="-17"/>
        </w:rPr>
        <w:t>）</w:t>
      </w:r>
      <w:r>
        <w:t>前快递到湖北华丹医药科技股份有</w:t>
      </w:r>
      <w:r>
        <w:rPr>
          <w:spacing w:val="-1"/>
          <w:w w:val="99"/>
        </w:rPr>
        <w:t>限公司，标书投递联系人：</w:t>
      </w:r>
      <w:r>
        <w:t>张传娥（收）</w:t>
      </w:r>
      <w:r>
        <w:tab/>
      </w:r>
      <w:r>
        <w:rPr>
          <w:w w:val="95"/>
        </w:rPr>
        <w:t>联系电话：</w:t>
      </w:r>
      <w:r>
        <w:rPr>
          <w:rFonts w:ascii="Times New Roman" w:eastAsia="Times New Roman"/>
          <w:w w:val="95"/>
        </w:rPr>
        <w:t xml:space="preserve">15151145790 </w:t>
      </w:r>
      <w:r>
        <w:rPr>
          <w:w w:val="99"/>
        </w:rPr>
        <w:t>，投递时请在邮寄单</w:t>
      </w:r>
      <w:r>
        <w:t>上</w:t>
      </w:r>
      <w:r>
        <w:rPr>
          <w:b/>
        </w:rPr>
        <w:t>注明：</w:t>
      </w:r>
      <w:r>
        <w:rPr>
          <w:rFonts w:hint="eastAsia" w:ascii="Times New Roman"/>
          <w:b/>
          <w:spacing w:val="1"/>
          <w:sz w:val="21"/>
          <w:lang w:eastAsia="zh-CN"/>
        </w:rPr>
        <w:t>在线运维</w:t>
      </w:r>
      <w:r>
        <w:rPr>
          <w:b/>
        </w:rPr>
        <w:t>。</w:t>
      </w:r>
    </w:p>
    <w:p>
      <w:pPr>
        <w:pStyle w:val="2"/>
        <w:spacing w:line="269" w:lineRule="exact"/>
        <w:ind w:left="720"/>
      </w:pPr>
      <w:r>
        <w:t>招标机构名称：湖北华丹医药科技股份有限公司</w:t>
      </w:r>
    </w:p>
    <w:p>
      <w:pPr>
        <w:pStyle w:val="2"/>
        <w:spacing w:before="5"/>
        <w:rPr>
          <w:sz w:val="15"/>
        </w:rPr>
      </w:pPr>
    </w:p>
    <w:p>
      <w:pPr>
        <w:pStyle w:val="2"/>
        <w:tabs>
          <w:tab w:val="left" w:pos="4185"/>
          <w:tab w:val="left" w:pos="4814"/>
        </w:tabs>
        <w:spacing w:line="417" w:lineRule="auto"/>
        <w:ind w:left="720" w:right="3161"/>
        <w:rPr>
          <w:rFonts w:ascii="Times New Roman" w:eastAsia="Times New Roman"/>
        </w:rPr>
      </w:pPr>
      <w:r>
        <w:t>地址：钟祥市经济开发区西环三路</w:t>
      </w:r>
      <w:r>
        <w:rPr>
          <w:spacing w:val="-53"/>
        </w:rPr>
        <w:t xml:space="preserve"> </w:t>
      </w:r>
      <w:r>
        <w:rPr>
          <w:rFonts w:ascii="Times New Roman" w:eastAsia="Times New Roman"/>
        </w:rPr>
        <w:t>21</w:t>
      </w:r>
      <w:r>
        <w:rPr>
          <w:rFonts w:ascii="Times New Roman" w:eastAsia="Times New Roman"/>
          <w:spacing w:val="-2"/>
        </w:rPr>
        <w:t xml:space="preserve"> </w:t>
      </w:r>
      <w:r>
        <w:t>号</w:t>
      </w:r>
      <w:r>
        <w:tab/>
      </w:r>
      <w:r>
        <w:t>邮 编 ：</w:t>
      </w:r>
      <w:r>
        <w:rPr>
          <w:rFonts w:ascii="Times New Roman" w:eastAsia="Times New Roman"/>
        </w:rPr>
        <w:t xml:space="preserve">431900 </w:t>
      </w:r>
      <w:r>
        <w:t>标书投递联系人：张传娥（收）</w:t>
      </w:r>
      <w:r>
        <w:tab/>
      </w:r>
      <w:r>
        <w:rPr>
          <w:w w:val="95"/>
        </w:rPr>
        <w:t>联系电话：</w:t>
      </w:r>
      <w:r>
        <w:rPr>
          <w:rFonts w:ascii="Times New Roman" w:eastAsia="Times New Roman"/>
          <w:w w:val="95"/>
        </w:rPr>
        <w:t xml:space="preserve">15151145790 </w:t>
      </w:r>
      <w:r>
        <w:t>商务咨询人：</w:t>
      </w:r>
      <w:r>
        <w:rPr>
          <w:rFonts w:hint="eastAsia"/>
          <w:lang w:eastAsia="zh-CN"/>
        </w:rPr>
        <w:t>易健</w:t>
      </w:r>
      <w:r>
        <w:tab/>
      </w:r>
      <w:r>
        <w:rPr>
          <w:w w:val="95"/>
        </w:rPr>
        <w:t>联系电话：</w:t>
      </w:r>
      <w:r>
        <w:rPr>
          <w:rFonts w:hint="eastAsia" w:ascii="Times New Roman"/>
          <w:w w:val="95"/>
          <w:lang w:val="en-US" w:eastAsia="zh-CN"/>
        </w:rPr>
        <w:t>17786759232</w:t>
      </w:r>
    </w:p>
    <w:p>
      <w:pPr>
        <w:pStyle w:val="2"/>
        <w:spacing w:line="269" w:lineRule="exact"/>
        <w:ind w:left="720"/>
        <w:rPr>
          <w:rFonts w:ascii="Times New Roman" w:eastAsia="Times New Roman"/>
        </w:rPr>
      </w:pPr>
      <w:r>
        <w:rPr>
          <w:w w:val="95"/>
        </w:rPr>
        <w:t>技术咨询人：鲁志云</w:t>
      </w:r>
      <w:r>
        <w:rPr>
          <w:rFonts w:hint="eastAsia"/>
          <w:w w:val="95"/>
          <w:lang w:val="en-US" w:eastAsia="zh-CN"/>
        </w:rPr>
        <w:t xml:space="preserve">                 </w:t>
      </w:r>
      <w:r>
        <w:rPr>
          <w:w w:val="95"/>
        </w:rPr>
        <w:t>联系电话：</w:t>
      </w:r>
      <w:r>
        <w:rPr>
          <w:rFonts w:ascii="Times New Roman" w:eastAsia="Times New Roman"/>
          <w:w w:val="95"/>
        </w:rPr>
        <w:t>13972195336</w:t>
      </w:r>
    </w:p>
    <w:p>
      <w:pPr>
        <w:spacing w:after="0" w:line="269" w:lineRule="exact"/>
        <w:rPr>
          <w:rFonts w:ascii="Times New Roman" w:eastAsia="Times New Roman"/>
        </w:rPr>
        <w:sectPr>
          <w:pgSz w:w="11910" w:h="16840"/>
          <w:pgMar w:top="1140" w:right="860" w:bottom="1160" w:left="1500" w:header="0" w:footer="979" w:gutter="0"/>
          <w:pgNumType w:fmt="decimal"/>
          <w:cols w:space="720" w:num="1"/>
        </w:sectPr>
      </w:pPr>
    </w:p>
    <w:p>
      <w:pPr>
        <w:pStyle w:val="2"/>
        <w:rPr>
          <w:rFonts w:ascii="Times New Roman"/>
          <w:sz w:val="24"/>
        </w:rPr>
      </w:pPr>
    </w:p>
    <w:p>
      <w:pPr>
        <w:pStyle w:val="2"/>
        <w:spacing w:before="6"/>
        <w:rPr>
          <w:rFonts w:ascii="Times New Roman"/>
          <w:sz w:val="23"/>
        </w:rPr>
      </w:pPr>
    </w:p>
    <w:p>
      <w:pPr>
        <w:spacing w:before="0"/>
        <w:ind w:left="660" w:right="0" w:firstLine="0"/>
        <w:jc w:val="left"/>
        <w:rPr>
          <w:b/>
          <w:sz w:val="24"/>
        </w:rPr>
      </w:pPr>
      <w:r>
        <w:rPr>
          <w:b/>
          <w:sz w:val="24"/>
        </w:rPr>
        <w:t>投标人须知</w:t>
      </w:r>
    </w:p>
    <w:p>
      <w:pPr>
        <w:pStyle w:val="4"/>
        <w:tabs>
          <w:tab w:val="left" w:pos="2263"/>
        </w:tabs>
        <w:spacing w:before="28"/>
        <w:ind w:left="660"/>
      </w:pPr>
      <w:r>
        <w:rPr>
          <w:b w:val="0"/>
        </w:rPr>
        <w:br w:type="column"/>
      </w:r>
      <w:r>
        <w:t>第二章</w:t>
      </w:r>
      <w:r>
        <w:tab/>
      </w:r>
      <w:r>
        <w:t>投标资料表</w:t>
      </w:r>
    </w:p>
    <w:p>
      <w:pPr>
        <w:spacing w:after="0"/>
        <w:sectPr>
          <w:pgSz w:w="11910" w:h="16840"/>
          <w:pgMar w:top="1140" w:right="860" w:bottom="1160" w:left="1500" w:header="0" w:footer="979" w:gutter="0"/>
          <w:pgNumType w:fmt="decimal"/>
          <w:cols w:equalWidth="0" w:num="2">
            <w:col w:w="1903" w:space="869"/>
            <w:col w:w="6778"/>
          </w:cols>
        </w:sectPr>
      </w:pPr>
    </w:p>
    <w:tbl>
      <w:tblPr>
        <w:tblStyle w:val="8"/>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4"/>
        <w:gridCol w:w="3378"/>
        <w:gridCol w:w="736"/>
        <w:gridCol w:w="39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bottom w:val="single" w:color="000000" w:sz="6" w:space="0"/>
              <w:right w:val="single" w:color="000000" w:sz="4" w:space="0"/>
            </w:tcBorders>
            <w:noWrap w:val="0"/>
            <w:vAlign w:val="top"/>
          </w:tcPr>
          <w:p>
            <w:pPr>
              <w:pStyle w:val="12"/>
              <w:spacing w:before="94"/>
              <w:ind w:left="206" w:right="184"/>
              <w:jc w:val="center"/>
              <w:rPr>
                <w:b/>
                <w:sz w:val="21"/>
              </w:rPr>
            </w:pPr>
            <w:r>
              <w:rPr>
                <w:b/>
                <w:sz w:val="21"/>
              </w:rPr>
              <w:t>条款号</w:t>
            </w:r>
          </w:p>
        </w:tc>
        <w:tc>
          <w:tcPr>
            <w:tcW w:w="3378" w:type="dxa"/>
            <w:tcBorders>
              <w:left w:val="single" w:color="000000" w:sz="4" w:space="0"/>
              <w:bottom w:val="single" w:color="000000" w:sz="6" w:space="0"/>
              <w:right w:val="nil"/>
            </w:tcBorders>
            <w:noWrap w:val="0"/>
            <w:vAlign w:val="top"/>
          </w:tcPr>
          <w:p>
            <w:pPr>
              <w:pStyle w:val="12"/>
              <w:ind w:left="0"/>
              <w:rPr>
                <w:rFonts w:ascii="Times New Roman"/>
                <w:sz w:val="20"/>
              </w:rPr>
            </w:pPr>
          </w:p>
        </w:tc>
        <w:tc>
          <w:tcPr>
            <w:tcW w:w="736" w:type="dxa"/>
            <w:tcBorders>
              <w:left w:val="nil"/>
              <w:bottom w:val="single" w:color="000000" w:sz="6" w:space="0"/>
              <w:right w:val="nil"/>
            </w:tcBorders>
            <w:noWrap w:val="0"/>
            <w:vAlign w:val="top"/>
          </w:tcPr>
          <w:p>
            <w:pPr>
              <w:pStyle w:val="12"/>
              <w:spacing w:before="94"/>
              <w:ind w:left="232"/>
              <w:rPr>
                <w:b/>
                <w:sz w:val="21"/>
              </w:rPr>
            </w:pPr>
            <w:r>
              <w:rPr>
                <w:b/>
                <w:w w:val="99"/>
                <w:sz w:val="21"/>
              </w:rPr>
              <w:t>内</w:t>
            </w:r>
          </w:p>
        </w:tc>
        <w:tc>
          <w:tcPr>
            <w:tcW w:w="3921" w:type="dxa"/>
            <w:tcBorders>
              <w:left w:val="nil"/>
              <w:bottom w:val="single" w:color="000000" w:sz="6" w:space="0"/>
            </w:tcBorders>
            <w:noWrap w:val="0"/>
            <w:vAlign w:val="top"/>
          </w:tcPr>
          <w:p>
            <w:pPr>
              <w:pStyle w:val="12"/>
              <w:spacing w:before="94"/>
              <w:ind w:left="127"/>
              <w:rPr>
                <w:b/>
                <w:sz w:val="21"/>
              </w:rPr>
            </w:pPr>
            <w:r>
              <w:rPr>
                <w:b/>
                <w:w w:val="99"/>
                <w:sz w:val="21"/>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top w:val="single" w:color="000000" w:sz="6" w:space="0"/>
              <w:bottom w:val="single" w:color="000000" w:sz="6" w:space="0"/>
              <w:right w:val="nil"/>
            </w:tcBorders>
            <w:noWrap w:val="0"/>
            <w:vAlign w:val="top"/>
          </w:tcPr>
          <w:p>
            <w:pPr>
              <w:pStyle w:val="12"/>
              <w:ind w:left="0"/>
              <w:rPr>
                <w:rFonts w:ascii="Times New Roman"/>
                <w:sz w:val="20"/>
              </w:rPr>
            </w:pPr>
          </w:p>
        </w:tc>
        <w:tc>
          <w:tcPr>
            <w:tcW w:w="3378" w:type="dxa"/>
            <w:tcBorders>
              <w:top w:val="single" w:color="000000" w:sz="6" w:space="0"/>
              <w:left w:val="nil"/>
              <w:bottom w:val="single" w:color="000000" w:sz="6" w:space="0"/>
              <w:right w:val="nil"/>
            </w:tcBorders>
            <w:noWrap w:val="0"/>
            <w:vAlign w:val="top"/>
          </w:tcPr>
          <w:p>
            <w:pPr>
              <w:pStyle w:val="12"/>
              <w:spacing w:before="94"/>
              <w:ind w:left="0" w:right="202"/>
              <w:jc w:val="right"/>
              <w:rPr>
                <w:b/>
                <w:sz w:val="21"/>
              </w:rPr>
            </w:pPr>
            <w:r>
              <w:rPr>
                <w:b/>
                <w:w w:val="99"/>
                <w:sz w:val="21"/>
              </w:rPr>
              <w:t>说</w:t>
            </w:r>
          </w:p>
        </w:tc>
        <w:tc>
          <w:tcPr>
            <w:tcW w:w="736" w:type="dxa"/>
            <w:tcBorders>
              <w:top w:val="single" w:color="000000" w:sz="6" w:space="0"/>
              <w:left w:val="nil"/>
              <w:bottom w:val="single" w:color="000000" w:sz="6" w:space="0"/>
              <w:right w:val="nil"/>
            </w:tcBorders>
            <w:noWrap w:val="0"/>
            <w:vAlign w:val="top"/>
          </w:tcPr>
          <w:p>
            <w:pPr>
              <w:pStyle w:val="12"/>
              <w:spacing w:before="94"/>
              <w:ind w:left="426"/>
              <w:rPr>
                <w:b/>
                <w:sz w:val="21"/>
              </w:rPr>
            </w:pPr>
            <w:r>
              <w:rPr>
                <w:b/>
                <w:w w:val="99"/>
                <w:sz w:val="21"/>
              </w:rPr>
              <w:t>明</w:t>
            </w:r>
          </w:p>
        </w:tc>
        <w:tc>
          <w:tcPr>
            <w:tcW w:w="3921" w:type="dxa"/>
            <w:tcBorders>
              <w:top w:val="single" w:color="000000" w:sz="6" w:space="0"/>
              <w:left w:val="nil"/>
              <w:bottom w:val="single" w:color="000000" w:sz="6" w:space="0"/>
            </w:tcBorders>
            <w:noWrap w:val="0"/>
            <w:vAlign w:val="top"/>
          </w:tcPr>
          <w:p>
            <w:pPr>
              <w:pStyle w:val="12"/>
              <w:ind w:left="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4" w:space="0"/>
            </w:tcBorders>
            <w:noWrap w:val="0"/>
            <w:vAlign w:val="top"/>
          </w:tcPr>
          <w:p>
            <w:pPr>
              <w:pStyle w:val="12"/>
              <w:ind w:left="0"/>
              <w:rPr>
                <w:b/>
                <w:sz w:val="27"/>
              </w:rPr>
            </w:pPr>
          </w:p>
          <w:p>
            <w:pPr>
              <w:pStyle w:val="12"/>
              <w:ind w:left="202" w:right="184"/>
              <w:jc w:val="center"/>
              <w:rPr>
                <w:rFonts w:ascii="Times New Roman"/>
                <w:sz w:val="21"/>
              </w:rPr>
            </w:pPr>
            <w:r>
              <w:rPr>
                <w:rFonts w:ascii="Times New Roman"/>
                <w:sz w:val="21"/>
              </w:rPr>
              <w:t>1.1</w:t>
            </w:r>
          </w:p>
        </w:tc>
        <w:tc>
          <w:tcPr>
            <w:tcW w:w="8035" w:type="dxa"/>
            <w:gridSpan w:val="3"/>
            <w:tcBorders>
              <w:top w:val="single" w:color="000000" w:sz="6" w:space="0"/>
              <w:left w:val="single" w:color="000000" w:sz="4" w:space="0"/>
              <w:bottom w:val="single" w:color="000000" w:sz="6" w:space="0"/>
            </w:tcBorders>
            <w:noWrap w:val="0"/>
            <w:vAlign w:val="top"/>
          </w:tcPr>
          <w:p>
            <w:pPr>
              <w:pStyle w:val="12"/>
              <w:spacing w:before="20" w:line="278" w:lineRule="auto"/>
              <w:ind w:left="118" w:right="3908"/>
              <w:rPr>
                <w:w w:val="95"/>
                <w:sz w:val="21"/>
              </w:rPr>
            </w:pPr>
            <w:r>
              <w:rPr>
                <w:w w:val="95"/>
                <w:sz w:val="21"/>
              </w:rPr>
              <w:t>业主名称：湖北华丹医药科技股份有限公司</w:t>
            </w:r>
          </w:p>
          <w:p>
            <w:pPr>
              <w:pStyle w:val="12"/>
              <w:spacing w:before="20" w:line="278" w:lineRule="auto"/>
              <w:ind w:left="118" w:right="3908"/>
              <w:rPr>
                <w:sz w:val="21"/>
              </w:rPr>
            </w:pPr>
            <w:r>
              <w:rPr>
                <w:sz w:val="21"/>
              </w:rPr>
              <w:t>业主地址：湖北钟祥</w:t>
            </w:r>
          </w:p>
          <w:p>
            <w:pPr>
              <w:pStyle w:val="12"/>
              <w:spacing w:line="269" w:lineRule="exact"/>
              <w:ind w:left="118"/>
              <w:rPr>
                <w:rFonts w:ascii="Times New Roman" w:eastAsia="Times New Roman"/>
                <w:sz w:val="21"/>
              </w:rPr>
            </w:pPr>
            <w:r>
              <w:rPr>
                <w:sz w:val="21"/>
              </w:rPr>
              <w:t xml:space="preserve">邮编： </w:t>
            </w:r>
            <w:r>
              <w:rPr>
                <w:rFonts w:ascii="Times New Roman" w:eastAsia="Times New Roman"/>
                <w:sz w:val="21"/>
              </w:rPr>
              <w:t>431900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6" w:space="0"/>
            </w:tcBorders>
            <w:noWrap w:val="0"/>
            <w:vAlign w:val="top"/>
          </w:tcPr>
          <w:p>
            <w:pPr>
              <w:pStyle w:val="12"/>
              <w:spacing w:before="2"/>
              <w:ind w:left="0"/>
              <w:rPr>
                <w:b/>
                <w:sz w:val="27"/>
              </w:rPr>
            </w:pPr>
          </w:p>
          <w:p>
            <w:pPr>
              <w:pStyle w:val="12"/>
              <w:ind w:left="337" w:right="316"/>
              <w:jc w:val="center"/>
              <w:rPr>
                <w:rFonts w:ascii="Times New Roman"/>
                <w:sz w:val="21"/>
              </w:rPr>
            </w:pPr>
            <w:r>
              <w:rPr>
                <w:rFonts w:ascii="Times New Roman"/>
                <w:sz w:val="21"/>
              </w:rPr>
              <w:t>1.2</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22" w:line="278" w:lineRule="auto"/>
              <w:ind w:right="3316"/>
              <w:rPr>
                <w:sz w:val="21"/>
              </w:rPr>
            </w:pPr>
            <w:r>
              <w:rPr>
                <w:sz w:val="21"/>
              </w:rPr>
              <w:t xml:space="preserve">招标机构名称：湖北华丹医药科技股份有限公司招标机构地址：钟祥市经济开发区西环三路 </w:t>
            </w:r>
            <w:r>
              <w:rPr>
                <w:rFonts w:ascii="Times New Roman" w:eastAsia="Times New Roman"/>
                <w:sz w:val="21"/>
              </w:rPr>
              <w:t xml:space="preserve">21 </w:t>
            </w:r>
            <w:r>
              <w:rPr>
                <w:sz w:val="21"/>
              </w:rPr>
              <w:t>号</w:t>
            </w:r>
          </w:p>
          <w:p>
            <w:pPr>
              <w:pStyle w:val="12"/>
              <w:tabs>
                <w:tab w:val="left" w:pos="3264"/>
              </w:tabs>
              <w:spacing w:line="269" w:lineRule="exact"/>
              <w:rPr>
                <w:rFonts w:ascii="Times New Roman" w:eastAsia="Times New Roman"/>
                <w:sz w:val="21"/>
              </w:rPr>
            </w:pPr>
            <w:r>
              <w:rPr>
                <w:sz w:val="21"/>
              </w:rPr>
              <w:t>邮编：</w:t>
            </w:r>
            <w:r>
              <w:rPr>
                <w:rFonts w:ascii="Times New Roman" w:eastAsia="Times New Roman"/>
                <w:sz w:val="21"/>
              </w:rPr>
              <w:t>431900</w:t>
            </w:r>
            <w:r>
              <w:rPr>
                <w:rFonts w:ascii="Times New Roman" w:eastAsia="Times New Roman"/>
                <w:sz w:val="21"/>
              </w:rPr>
              <w:tab/>
            </w:r>
            <w:r>
              <w:rPr>
                <w:sz w:val="21"/>
              </w:rPr>
              <w:t>电话：</w:t>
            </w:r>
            <w:r>
              <w:rPr>
                <w:rFonts w:ascii="Times New Roman" w:eastAsia="Times New Roman"/>
                <w:sz w:val="21"/>
              </w:rPr>
              <w:t>0724-4934818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9119" w:type="dxa"/>
            <w:gridSpan w:val="4"/>
            <w:tcBorders>
              <w:top w:val="single" w:color="000000" w:sz="6" w:space="0"/>
              <w:bottom w:val="single" w:color="000000" w:sz="6" w:space="0"/>
            </w:tcBorders>
            <w:noWrap w:val="0"/>
            <w:vAlign w:val="top"/>
          </w:tcPr>
          <w:p>
            <w:pPr>
              <w:pStyle w:val="12"/>
              <w:spacing w:before="43"/>
              <w:ind w:left="3590" w:right="3558"/>
              <w:jc w:val="center"/>
              <w:rPr>
                <w:b/>
                <w:sz w:val="21"/>
              </w:rPr>
            </w:pPr>
            <w:r>
              <w:rPr>
                <w:b/>
                <w:sz w:val="21"/>
              </w:rPr>
              <w:t>投标报价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2" w:hRule="atLeast"/>
        </w:trPr>
        <w:tc>
          <w:tcPr>
            <w:tcW w:w="1084" w:type="dxa"/>
            <w:tcBorders>
              <w:top w:val="single" w:color="000000" w:sz="6" w:space="0"/>
              <w:bottom w:val="single" w:color="000000" w:sz="6" w:space="0"/>
              <w:right w:val="single" w:color="000000" w:sz="6" w:space="0"/>
            </w:tcBorders>
            <w:noWrap w:val="0"/>
            <w:vAlign w:val="top"/>
          </w:tcPr>
          <w:p>
            <w:pPr>
              <w:pStyle w:val="12"/>
              <w:ind w:left="0"/>
              <w:rPr>
                <w:b/>
                <w:sz w:val="22"/>
              </w:rPr>
            </w:pPr>
          </w:p>
          <w:p>
            <w:pPr>
              <w:pStyle w:val="12"/>
              <w:ind w:left="0"/>
              <w:rPr>
                <w:b/>
                <w:sz w:val="22"/>
              </w:rPr>
            </w:pPr>
          </w:p>
          <w:p>
            <w:pPr>
              <w:pStyle w:val="12"/>
              <w:ind w:left="0"/>
              <w:rPr>
                <w:b/>
                <w:sz w:val="22"/>
              </w:rPr>
            </w:pPr>
          </w:p>
          <w:p>
            <w:pPr>
              <w:pStyle w:val="12"/>
              <w:spacing w:before="12"/>
              <w:ind w:left="0"/>
              <w:rPr>
                <w:b/>
                <w:sz w:val="21"/>
              </w:rPr>
            </w:pPr>
          </w:p>
          <w:p>
            <w:pPr>
              <w:pStyle w:val="12"/>
              <w:ind w:left="337" w:right="317"/>
              <w:jc w:val="center"/>
              <w:rPr>
                <w:rFonts w:ascii="Times New Roman"/>
                <w:sz w:val="21"/>
              </w:rPr>
            </w:pPr>
            <w:r>
              <w:rPr>
                <w:rFonts w:ascii="Times New Roman"/>
                <w:sz w:val="21"/>
              </w:rPr>
              <w:t>2.1</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21"/>
              <w:rPr>
                <w:sz w:val="21"/>
              </w:rPr>
            </w:pPr>
            <w:r>
              <w:rPr>
                <w:sz w:val="21"/>
              </w:rPr>
              <w:t>投标报价：</w:t>
            </w:r>
          </w:p>
          <w:p>
            <w:pPr>
              <w:pStyle w:val="12"/>
              <w:spacing w:before="2" w:line="310" w:lineRule="atLeast"/>
              <w:ind w:right="77"/>
              <w:jc w:val="both"/>
              <w:rPr>
                <w:sz w:val="21"/>
              </w:rPr>
            </w:pPr>
            <w:r>
              <w:rPr>
                <w:sz w:val="21"/>
              </w:rPr>
              <w:t>投标人应在投标分项报价表上标明本合同拟提供的所有单价和总价</w:t>
            </w:r>
            <w:r>
              <w:rPr>
                <w:rFonts w:hint="eastAsia"/>
                <w:sz w:val="21"/>
                <w:lang w:eastAsia="zh-CN"/>
              </w:rPr>
              <w:t>，</w:t>
            </w:r>
            <w:r>
              <w:rPr>
                <w:sz w:val="21"/>
              </w:rPr>
              <w:t>投标总价中不得包含招标文件要求以外的内容，否则，在评标时不予核减。投标总价中也不得缺漏招标文件所要求的内容，否则，评标时将有效投标中该项内容的最高价计入其投标总价。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84" w:type="dxa"/>
            <w:tcBorders>
              <w:top w:val="single" w:color="000000" w:sz="6" w:space="0"/>
              <w:bottom w:val="single" w:color="000000" w:sz="6" w:space="0"/>
              <w:right w:val="single" w:color="000000" w:sz="6" w:space="0"/>
            </w:tcBorders>
            <w:noWrap w:val="0"/>
            <w:vAlign w:val="top"/>
          </w:tcPr>
          <w:p>
            <w:pPr>
              <w:pStyle w:val="12"/>
              <w:spacing w:before="190"/>
              <w:ind w:left="337" w:right="317"/>
              <w:jc w:val="center"/>
              <w:rPr>
                <w:rFonts w:ascii="Times New Roman"/>
                <w:sz w:val="21"/>
              </w:rPr>
            </w:pPr>
            <w:r>
              <w:rPr>
                <w:rFonts w:ascii="Times New Roman"/>
                <w:sz w:val="21"/>
              </w:rPr>
              <w:t>*2.2</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43"/>
              <w:ind w:left="144"/>
              <w:rPr>
                <w:sz w:val="21"/>
              </w:rPr>
            </w:pPr>
            <w:r>
              <w:rPr>
                <w:sz w:val="21"/>
              </w:rPr>
              <w:t>投标人必须按照投标分项报价表的要求提供分项报价。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119" w:type="dxa"/>
            <w:gridSpan w:val="4"/>
            <w:tcBorders>
              <w:top w:val="single" w:color="000000" w:sz="6" w:space="0"/>
              <w:bottom w:val="single" w:color="000000" w:sz="6" w:space="0"/>
            </w:tcBorders>
            <w:noWrap w:val="0"/>
            <w:vAlign w:val="top"/>
          </w:tcPr>
          <w:p>
            <w:pPr>
              <w:pStyle w:val="12"/>
              <w:spacing w:before="68"/>
              <w:ind w:left="3592" w:right="3558"/>
              <w:jc w:val="center"/>
              <w:rPr>
                <w:b/>
                <w:sz w:val="21"/>
              </w:rPr>
            </w:pPr>
            <w:r>
              <w:rPr>
                <w:b/>
                <w:sz w:val="21"/>
              </w:rPr>
              <w:t>投标书的编制和递交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1084" w:type="dxa"/>
            <w:tcBorders>
              <w:top w:val="single" w:color="000000" w:sz="6" w:space="0"/>
              <w:bottom w:val="single" w:color="000000" w:sz="6" w:space="0"/>
              <w:right w:val="single" w:color="000000" w:sz="6" w:space="0"/>
            </w:tcBorders>
            <w:noWrap w:val="0"/>
            <w:vAlign w:val="top"/>
          </w:tcPr>
          <w:p>
            <w:pPr>
              <w:pStyle w:val="12"/>
              <w:ind w:left="0"/>
              <w:rPr>
                <w:b/>
                <w:sz w:val="22"/>
              </w:rPr>
            </w:pPr>
          </w:p>
          <w:p>
            <w:pPr>
              <w:pStyle w:val="12"/>
              <w:spacing w:before="10"/>
              <w:ind w:left="0"/>
              <w:jc w:val="both"/>
              <w:rPr>
                <w:b/>
                <w:sz w:val="31"/>
              </w:rPr>
            </w:pPr>
          </w:p>
          <w:p>
            <w:pPr>
              <w:pStyle w:val="12"/>
              <w:spacing w:before="1"/>
              <w:ind w:left="337" w:right="317"/>
              <w:jc w:val="center"/>
              <w:rPr>
                <w:rFonts w:ascii="Times New Roman"/>
                <w:sz w:val="21"/>
              </w:rPr>
            </w:pPr>
            <w:r>
              <w:rPr>
                <w:rFonts w:ascii="Times New Roman"/>
                <w:sz w:val="21"/>
              </w:rPr>
              <w:t>*3.1</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22"/>
              <w:rPr>
                <w:sz w:val="21"/>
              </w:rPr>
            </w:pPr>
            <w:r>
              <w:rPr>
                <w:sz w:val="21"/>
              </w:rPr>
              <w:t>投标人资格标准：</w:t>
            </w:r>
          </w:p>
          <w:p>
            <w:pPr>
              <w:pStyle w:val="12"/>
              <w:numPr>
                <w:ilvl w:val="0"/>
                <w:numId w:val="1"/>
              </w:numPr>
              <w:tabs>
                <w:tab w:val="left" w:pos="275"/>
              </w:tabs>
              <w:spacing w:before="43" w:after="0" w:line="240" w:lineRule="auto"/>
              <w:ind w:left="274" w:right="0" w:hanging="160"/>
              <w:jc w:val="left"/>
              <w:rPr>
                <w:sz w:val="21"/>
              </w:rPr>
            </w:pPr>
            <w:r>
              <w:rPr>
                <w:sz w:val="21"/>
              </w:rPr>
              <w:t>投标人须具有合法经营的独立法人资格和独立订立合同的能力；</w:t>
            </w:r>
          </w:p>
          <w:p>
            <w:pPr>
              <w:pStyle w:val="12"/>
              <w:numPr>
                <w:ilvl w:val="0"/>
                <w:numId w:val="1"/>
              </w:numPr>
              <w:tabs>
                <w:tab w:val="left" w:pos="275"/>
              </w:tabs>
              <w:spacing w:before="42" w:after="0" w:line="240" w:lineRule="auto"/>
              <w:ind w:left="274" w:right="0" w:hanging="160"/>
              <w:jc w:val="left"/>
              <w:rPr>
                <w:sz w:val="21"/>
              </w:rPr>
            </w:pPr>
            <w:r>
              <w:rPr>
                <w:spacing w:val="-8"/>
                <w:sz w:val="21"/>
              </w:rPr>
              <w:t>投标人必须有</w:t>
            </w:r>
            <w:r>
              <w:rPr>
                <w:rFonts w:hint="eastAsia"/>
                <w:spacing w:val="-8"/>
                <w:sz w:val="21"/>
                <w:lang w:eastAsia="zh-CN"/>
              </w:rPr>
              <w:t>污水设备在线运维</w:t>
            </w:r>
            <w:r>
              <w:rPr>
                <w:sz w:val="21"/>
              </w:rPr>
              <w:t>专业资质；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5" w:hRule="atLeast"/>
        </w:trPr>
        <w:tc>
          <w:tcPr>
            <w:tcW w:w="1084" w:type="dxa"/>
            <w:tcBorders>
              <w:top w:val="single" w:color="000000" w:sz="6" w:space="0"/>
              <w:bottom w:val="single" w:color="000000" w:sz="6" w:space="0"/>
              <w:right w:val="single" w:color="000000" w:sz="6" w:space="0"/>
            </w:tcBorders>
            <w:noWrap w:val="0"/>
            <w:vAlign w:val="top"/>
          </w:tcPr>
          <w:p>
            <w:pPr>
              <w:pStyle w:val="12"/>
              <w:ind w:left="0"/>
              <w:rPr>
                <w:b/>
                <w:sz w:val="22"/>
              </w:rPr>
            </w:pPr>
          </w:p>
          <w:p>
            <w:pPr>
              <w:pStyle w:val="12"/>
              <w:spacing w:before="3"/>
              <w:ind w:left="0"/>
              <w:rPr>
                <w:b/>
                <w:sz w:val="17"/>
              </w:rPr>
            </w:pPr>
          </w:p>
          <w:p>
            <w:pPr>
              <w:pStyle w:val="12"/>
              <w:ind w:left="337" w:right="317"/>
              <w:jc w:val="center"/>
              <w:rPr>
                <w:rFonts w:ascii="Times New Roman"/>
                <w:sz w:val="21"/>
              </w:rPr>
            </w:pPr>
            <w:r>
              <w:rPr>
                <w:rFonts w:ascii="Times New Roman"/>
                <w:sz w:val="21"/>
              </w:rPr>
              <w:t>3.2</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21"/>
              <w:rPr>
                <w:sz w:val="21"/>
              </w:rPr>
            </w:pPr>
            <w:r>
              <w:rPr>
                <w:w w:val="95"/>
                <w:sz w:val="21"/>
              </w:rPr>
              <w:t>投标人须提供如下证明文件：</w:t>
            </w:r>
          </w:p>
          <w:p>
            <w:pPr>
              <w:pStyle w:val="12"/>
              <w:numPr>
                <w:ilvl w:val="0"/>
                <w:numId w:val="2"/>
              </w:numPr>
              <w:tabs>
                <w:tab w:val="left" w:pos="275"/>
              </w:tabs>
              <w:spacing w:before="43" w:after="0" w:line="240" w:lineRule="auto"/>
              <w:ind w:left="274" w:right="0" w:hanging="160"/>
              <w:jc w:val="left"/>
              <w:rPr>
                <w:sz w:val="21"/>
              </w:rPr>
            </w:pPr>
            <w:r>
              <w:rPr>
                <w:w w:val="95"/>
                <w:sz w:val="21"/>
              </w:rPr>
              <w:t>投标人代表授权委托书；</w:t>
            </w:r>
          </w:p>
          <w:p>
            <w:pPr>
              <w:pStyle w:val="12"/>
              <w:numPr>
                <w:ilvl w:val="0"/>
                <w:numId w:val="2"/>
              </w:numPr>
              <w:tabs>
                <w:tab w:val="left" w:pos="275"/>
              </w:tabs>
              <w:spacing w:before="43" w:after="0" w:line="240" w:lineRule="auto"/>
              <w:ind w:left="274" w:right="0" w:hanging="160"/>
              <w:jc w:val="left"/>
              <w:rPr>
                <w:sz w:val="21"/>
              </w:rPr>
            </w:pPr>
            <w:r>
              <w:rPr>
                <w:spacing w:val="-1"/>
                <w:w w:val="99"/>
                <w:sz w:val="21"/>
              </w:rPr>
              <w:t>相关证照复印件</w:t>
            </w:r>
            <w:r>
              <w:rPr>
                <w:spacing w:val="2"/>
                <w:w w:val="99"/>
                <w:sz w:val="21"/>
              </w:rPr>
              <w:t>（</w:t>
            </w:r>
            <w:r>
              <w:rPr>
                <w:spacing w:val="-1"/>
                <w:w w:val="99"/>
                <w:sz w:val="21"/>
              </w:rPr>
              <w:t>加盖公章</w:t>
            </w:r>
            <w:r>
              <w:rPr>
                <w:spacing w:val="-104"/>
                <w:w w:val="99"/>
                <w:sz w:val="21"/>
              </w:rPr>
              <w:t>）</w:t>
            </w:r>
            <w:r>
              <w:rPr>
                <w:w w:val="99"/>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084" w:type="dxa"/>
            <w:tcBorders>
              <w:top w:val="single" w:color="000000" w:sz="6" w:space="0"/>
              <w:bottom w:val="single" w:color="000000" w:sz="6" w:space="0"/>
              <w:right w:val="single" w:color="000000" w:sz="6" w:space="0"/>
            </w:tcBorders>
            <w:noWrap w:val="0"/>
            <w:vAlign w:val="top"/>
          </w:tcPr>
          <w:p>
            <w:pPr>
              <w:pStyle w:val="12"/>
              <w:ind w:left="0"/>
              <w:rPr>
                <w:b/>
                <w:sz w:val="22"/>
              </w:rPr>
            </w:pPr>
          </w:p>
          <w:p>
            <w:pPr>
              <w:pStyle w:val="12"/>
              <w:spacing w:before="2"/>
              <w:ind w:left="0"/>
              <w:rPr>
                <w:b/>
                <w:sz w:val="17"/>
              </w:rPr>
            </w:pPr>
          </w:p>
          <w:p>
            <w:pPr>
              <w:pStyle w:val="12"/>
              <w:spacing w:before="1"/>
              <w:ind w:left="337" w:right="316"/>
              <w:jc w:val="center"/>
              <w:rPr>
                <w:rFonts w:ascii="Times New Roman"/>
                <w:sz w:val="21"/>
              </w:rPr>
            </w:pPr>
            <w:r>
              <w:rPr>
                <w:rFonts w:ascii="Times New Roman"/>
                <w:sz w:val="21"/>
              </w:rPr>
              <w:t>3.3</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20"/>
              <w:rPr>
                <w:sz w:val="21"/>
              </w:rPr>
            </w:pPr>
            <w:r>
              <w:rPr>
                <w:w w:val="95"/>
                <w:sz w:val="21"/>
              </w:rPr>
              <w:t>投标文件有下述情形之一的，为未能对招标文件作出实质性响应，作废标处理：</w:t>
            </w:r>
          </w:p>
          <w:p>
            <w:pPr>
              <w:pStyle w:val="12"/>
              <w:numPr>
                <w:ilvl w:val="0"/>
                <w:numId w:val="3"/>
              </w:numPr>
              <w:tabs>
                <w:tab w:val="left" w:pos="275"/>
              </w:tabs>
              <w:spacing w:before="43" w:after="0" w:line="240" w:lineRule="auto"/>
              <w:ind w:left="274" w:right="0" w:hanging="160"/>
              <w:jc w:val="left"/>
              <w:rPr>
                <w:sz w:val="21"/>
              </w:rPr>
            </w:pPr>
            <w:r>
              <w:rPr>
                <w:w w:val="95"/>
                <w:sz w:val="21"/>
              </w:rPr>
              <w:t>投标文件没有投标人的法定代表人授权签字和被授权人签字以及加盖公章。</w:t>
            </w:r>
          </w:p>
          <w:p>
            <w:pPr>
              <w:pStyle w:val="12"/>
              <w:numPr>
                <w:ilvl w:val="0"/>
                <w:numId w:val="3"/>
              </w:numPr>
              <w:tabs>
                <w:tab w:val="left" w:pos="275"/>
              </w:tabs>
              <w:spacing w:before="43" w:after="0" w:line="240" w:lineRule="auto"/>
              <w:ind w:left="274" w:right="0" w:hanging="160"/>
              <w:jc w:val="left"/>
              <w:rPr>
                <w:sz w:val="21"/>
              </w:rPr>
            </w:pPr>
            <w:r>
              <w:rPr>
                <w:sz w:val="21"/>
              </w:rPr>
              <w:t>明显不符合邀标文件中相关技术规格、技术标准等要求。</w:t>
            </w:r>
          </w:p>
          <w:p>
            <w:pPr>
              <w:pStyle w:val="12"/>
              <w:numPr>
                <w:ilvl w:val="0"/>
                <w:numId w:val="3"/>
              </w:numPr>
              <w:tabs>
                <w:tab w:val="left" w:pos="275"/>
              </w:tabs>
              <w:spacing w:before="43" w:after="0" w:line="240" w:lineRule="auto"/>
              <w:ind w:left="274" w:right="0" w:hanging="160"/>
              <w:jc w:val="left"/>
              <w:rPr>
                <w:sz w:val="21"/>
              </w:rPr>
            </w:pPr>
            <w:r>
              <w:rPr>
                <w:sz w:val="21"/>
              </w:rPr>
              <w:t>投标文件附有招标人不能接受的条件。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084" w:type="dxa"/>
            <w:tcBorders>
              <w:top w:val="single" w:color="000000" w:sz="6" w:space="0"/>
              <w:bottom w:val="single" w:color="000000" w:sz="4" w:space="0"/>
              <w:right w:val="single" w:color="000000" w:sz="6" w:space="0"/>
            </w:tcBorders>
            <w:noWrap w:val="0"/>
            <w:vAlign w:val="top"/>
          </w:tcPr>
          <w:p>
            <w:pPr>
              <w:pStyle w:val="12"/>
              <w:spacing w:before="34"/>
              <w:ind w:left="337" w:right="317"/>
              <w:jc w:val="center"/>
              <w:rPr>
                <w:rFonts w:ascii="Times New Roman"/>
                <w:sz w:val="21"/>
              </w:rPr>
            </w:pPr>
            <w:r>
              <w:rPr>
                <w:rFonts w:ascii="Times New Roman"/>
                <w:sz w:val="21"/>
              </w:rPr>
              <w:t>*3.4</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20"/>
              <w:rPr>
                <w:sz w:val="21"/>
              </w:rPr>
            </w:pPr>
            <w:r>
              <w:rPr>
                <w:sz w:val="21"/>
              </w:rPr>
              <w:t>投标有效期：</w:t>
            </w:r>
            <w:r>
              <w:rPr>
                <w:rFonts w:hint="eastAsia" w:ascii="Times New Roman"/>
                <w:sz w:val="21"/>
                <w:lang w:val="en-US" w:eastAsia="zh-CN"/>
              </w:rPr>
              <w:t>7</w:t>
            </w:r>
            <w:r>
              <w:rPr>
                <w:sz w:val="21"/>
              </w:rPr>
              <w:t>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084" w:type="dxa"/>
            <w:tcBorders>
              <w:top w:val="single" w:color="000000" w:sz="4" w:space="0"/>
              <w:bottom w:val="single" w:color="000000" w:sz="6" w:space="0"/>
              <w:right w:val="single" w:color="000000" w:sz="6" w:space="0"/>
            </w:tcBorders>
            <w:noWrap w:val="0"/>
            <w:vAlign w:val="top"/>
          </w:tcPr>
          <w:p>
            <w:pPr>
              <w:pStyle w:val="12"/>
              <w:spacing w:before="36"/>
              <w:ind w:left="337" w:right="317"/>
              <w:jc w:val="center"/>
              <w:rPr>
                <w:rFonts w:ascii="Times New Roman"/>
                <w:sz w:val="21"/>
              </w:rPr>
            </w:pPr>
            <w:r>
              <w:rPr>
                <w:rFonts w:ascii="Times New Roman"/>
                <w:sz w:val="21"/>
              </w:rPr>
              <w:t>3.5</w:t>
            </w:r>
          </w:p>
        </w:tc>
        <w:tc>
          <w:tcPr>
            <w:tcW w:w="8035" w:type="dxa"/>
            <w:gridSpan w:val="3"/>
            <w:tcBorders>
              <w:top w:val="single" w:color="000000" w:sz="6" w:space="0"/>
              <w:left w:val="single" w:color="000000" w:sz="6" w:space="0"/>
              <w:bottom w:val="single" w:color="000000" w:sz="4" w:space="0"/>
            </w:tcBorders>
            <w:noWrap w:val="0"/>
            <w:vAlign w:val="top"/>
          </w:tcPr>
          <w:p>
            <w:pPr>
              <w:pStyle w:val="12"/>
              <w:spacing w:before="22" w:line="268" w:lineRule="exact"/>
              <w:rPr>
                <w:sz w:val="21"/>
              </w:rPr>
            </w:pPr>
            <w:r>
              <w:rPr>
                <w:sz w:val="21"/>
              </w:rPr>
              <w:t xml:space="preserve">投标的正本文件 </w:t>
            </w:r>
            <w:r>
              <w:rPr>
                <w:rFonts w:ascii="Times New Roman" w:eastAsia="Times New Roman"/>
                <w:sz w:val="21"/>
              </w:rPr>
              <w:t xml:space="preserve">1 </w:t>
            </w:r>
            <w:r>
              <w:rPr>
                <w:sz w:val="21"/>
              </w:rPr>
              <w:t xml:space="preserve">份；副本文件 </w:t>
            </w:r>
            <w:r>
              <w:rPr>
                <w:rFonts w:ascii="Times New Roman" w:eastAsia="Times New Roman"/>
                <w:sz w:val="21"/>
              </w:rPr>
              <w:t xml:space="preserve">1 </w:t>
            </w:r>
            <w:r>
              <w:rPr>
                <w:sz w:val="21"/>
              </w:rPr>
              <w:t>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1084" w:type="dxa"/>
            <w:tcBorders>
              <w:top w:val="single" w:color="000000" w:sz="6" w:space="0"/>
              <w:bottom w:val="single" w:color="000000" w:sz="6" w:space="0"/>
              <w:right w:val="single" w:color="000000" w:sz="6" w:space="0"/>
            </w:tcBorders>
            <w:noWrap w:val="0"/>
            <w:vAlign w:val="top"/>
          </w:tcPr>
          <w:p>
            <w:pPr>
              <w:pStyle w:val="12"/>
              <w:spacing w:before="193"/>
              <w:ind w:left="337" w:right="317"/>
              <w:jc w:val="center"/>
              <w:rPr>
                <w:rFonts w:ascii="Times New Roman"/>
                <w:sz w:val="21"/>
              </w:rPr>
            </w:pPr>
            <w:r>
              <w:rPr>
                <w:rFonts w:ascii="Times New Roman"/>
                <w:sz w:val="21"/>
              </w:rPr>
              <w:t>*3.6</w:t>
            </w:r>
          </w:p>
        </w:tc>
        <w:tc>
          <w:tcPr>
            <w:tcW w:w="8035" w:type="dxa"/>
            <w:gridSpan w:val="3"/>
            <w:tcBorders>
              <w:top w:val="single" w:color="000000" w:sz="4" w:space="0"/>
              <w:left w:val="single" w:color="000000" w:sz="6" w:space="0"/>
              <w:bottom w:val="single" w:color="000000" w:sz="6" w:space="0"/>
            </w:tcBorders>
            <w:noWrap w:val="0"/>
            <w:vAlign w:val="top"/>
          </w:tcPr>
          <w:p>
            <w:pPr>
              <w:pStyle w:val="12"/>
              <w:spacing w:before="23"/>
              <w:rPr>
                <w:sz w:val="21"/>
              </w:rPr>
            </w:pPr>
            <w:r>
              <w:rPr>
                <w:sz w:val="21"/>
              </w:rPr>
              <w:t>投标文件正本的每一页均应由投标人法定代表人或其授权代表签字。投标文件副本应</w:t>
            </w:r>
          </w:p>
          <w:p>
            <w:pPr>
              <w:pStyle w:val="12"/>
              <w:spacing w:before="43"/>
              <w:ind w:right="-29"/>
              <w:rPr>
                <w:sz w:val="21"/>
              </w:rPr>
            </w:pPr>
            <w:r>
              <w:rPr>
                <w:spacing w:val="-5"/>
                <w:w w:val="95"/>
                <w:sz w:val="21"/>
              </w:rPr>
              <w:t>为投标文件正本的复印件。报价表均应由投标人法定代表人或其授权代表签字并盖章。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084" w:type="dxa"/>
            <w:tcBorders>
              <w:top w:val="single" w:color="000000" w:sz="6" w:space="0"/>
              <w:bottom w:val="single" w:color="000000" w:sz="6" w:space="0"/>
              <w:right w:val="single" w:color="000000" w:sz="6" w:space="0"/>
            </w:tcBorders>
            <w:noWrap w:val="0"/>
            <w:vAlign w:val="top"/>
          </w:tcPr>
          <w:p>
            <w:pPr>
              <w:pStyle w:val="12"/>
              <w:spacing w:before="44"/>
              <w:ind w:left="337" w:right="317"/>
              <w:jc w:val="center"/>
              <w:rPr>
                <w:rFonts w:ascii="Times New Roman"/>
                <w:sz w:val="21"/>
              </w:rPr>
            </w:pPr>
            <w:r>
              <w:rPr>
                <w:rFonts w:ascii="Times New Roman"/>
                <w:sz w:val="21"/>
              </w:rPr>
              <w:t>3.7</w:t>
            </w:r>
          </w:p>
        </w:tc>
        <w:tc>
          <w:tcPr>
            <w:tcW w:w="8035" w:type="dxa"/>
            <w:gridSpan w:val="3"/>
            <w:tcBorders>
              <w:top w:val="single" w:color="000000" w:sz="6" w:space="0"/>
              <w:left w:val="single" w:color="000000" w:sz="6" w:space="0"/>
              <w:bottom w:val="single" w:color="000000" w:sz="6" w:space="0"/>
            </w:tcBorders>
            <w:noWrap w:val="0"/>
            <w:vAlign w:val="top"/>
          </w:tcPr>
          <w:p>
            <w:pPr>
              <w:pStyle w:val="12"/>
              <w:spacing w:before="30"/>
              <w:rPr>
                <w:sz w:val="21"/>
              </w:rPr>
            </w:pPr>
            <w:r>
              <w:rPr>
                <w:sz w:val="21"/>
              </w:rPr>
              <w:t>对于未按招标文件要求密封和标记的投标文件，将予以拒绝或作废。</w:t>
            </w:r>
          </w:p>
        </w:tc>
      </w:tr>
    </w:tbl>
    <w:p>
      <w:pPr>
        <w:spacing w:after="0"/>
        <w:rPr>
          <w:sz w:val="21"/>
        </w:rPr>
        <w:sectPr>
          <w:type w:val="continuous"/>
          <w:pgSz w:w="11910" w:h="16840"/>
          <w:pgMar w:top="1580" w:right="860" w:bottom="1160" w:left="1500" w:header="720" w:footer="720" w:gutter="0"/>
          <w:pgNumType w:fmt="decimal"/>
          <w:cols w:space="720" w:num="1"/>
        </w:sectPr>
      </w:pPr>
    </w:p>
    <w:tbl>
      <w:tblPr>
        <w:tblStyle w:val="8"/>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tcBorders>
              <w:left w:val="single" w:color="000000" w:sz="12" w:space="0"/>
            </w:tcBorders>
            <w:noWrap w:val="0"/>
            <w:vAlign w:val="top"/>
          </w:tcPr>
          <w:p>
            <w:pPr>
              <w:pStyle w:val="12"/>
              <w:spacing w:before="34"/>
              <w:ind w:left="337" w:right="317"/>
              <w:jc w:val="center"/>
              <w:rPr>
                <w:rFonts w:ascii="Times New Roman"/>
                <w:sz w:val="21"/>
              </w:rPr>
            </w:pPr>
            <w:r>
              <w:rPr>
                <w:rFonts w:ascii="Times New Roman"/>
                <w:sz w:val="21"/>
              </w:rPr>
              <w:t>3.8</w:t>
            </w:r>
          </w:p>
        </w:tc>
        <w:tc>
          <w:tcPr>
            <w:tcW w:w="8034" w:type="dxa"/>
            <w:tcBorders>
              <w:right w:val="single" w:color="000000" w:sz="12" w:space="0"/>
            </w:tcBorders>
            <w:noWrap w:val="0"/>
            <w:vAlign w:val="top"/>
          </w:tcPr>
          <w:p>
            <w:pPr>
              <w:pStyle w:val="12"/>
              <w:spacing w:before="20"/>
              <w:rPr>
                <w:sz w:val="21"/>
              </w:rPr>
            </w:pPr>
            <w:r>
              <w:rPr>
                <w:spacing w:val="-1"/>
                <w:w w:val="99"/>
                <w:sz w:val="21"/>
              </w:rPr>
              <w:t>投标截止期：</w:t>
            </w:r>
            <w:r>
              <w:rPr>
                <w:rFonts w:ascii="Times New Roman" w:eastAsia="Times New Roman"/>
                <w:spacing w:val="1"/>
                <w:w w:val="99"/>
                <w:sz w:val="21"/>
                <w:u w:val="single"/>
              </w:rPr>
              <w:t>2</w:t>
            </w:r>
            <w:r>
              <w:rPr>
                <w:rFonts w:ascii="Times New Roman" w:eastAsia="Times New Roman"/>
                <w:spacing w:val="-2"/>
                <w:w w:val="99"/>
                <w:sz w:val="21"/>
                <w:u w:val="single"/>
              </w:rPr>
              <w:t>0</w:t>
            </w:r>
            <w:r>
              <w:rPr>
                <w:rFonts w:ascii="Times New Roman" w:eastAsia="Times New Roman"/>
                <w:spacing w:val="1"/>
                <w:w w:val="99"/>
                <w:sz w:val="21"/>
                <w:u w:val="single"/>
              </w:rPr>
              <w:t>2</w:t>
            </w:r>
            <w:r>
              <w:rPr>
                <w:rFonts w:hint="eastAsia" w:ascii="Times New Roman"/>
                <w:w w:val="99"/>
                <w:sz w:val="21"/>
                <w:u w:val="single"/>
                <w:lang w:val="en-US" w:eastAsia="zh-CN"/>
              </w:rPr>
              <w:t>4</w:t>
            </w:r>
            <w:r>
              <w:rPr>
                <w:rFonts w:ascii="Times New Roman" w:eastAsia="Times New Roman"/>
                <w:spacing w:val="-2"/>
                <w:sz w:val="21"/>
              </w:rPr>
              <w:t xml:space="preserve"> </w:t>
            </w:r>
            <w:r>
              <w:rPr>
                <w:spacing w:val="1"/>
                <w:w w:val="99"/>
                <w:sz w:val="21"/>
              </w:rPr>
              <w:t>年</w:t>
            </w:r>
            <w:r>
              <w:rPr>
                <w:rFonts w:hint="eastAsia" w:ascii="Times New Roman"/>
                <w:spacing w:val="1"/>
                <w:w w:val="99"/>
                <w:sz w:val="21"/>
                <w:u w:val="single"/>
                <w:lang w:val="en-US" w:eastAsia="zh-CN"/>
              </w:rPr>
              <w:t>04</w:t>
            </w:r>
            <w:r>
              <w:rPr>
                <w:spacing w:val="-1"/>
                <w:w w:val="99"/>
                <w:sz w:val="21"/>
              </w:rPr>
              <w:t>月</w:t>
            </w:r>
            <w:r>
              <w:rPr>
                <w:rFonts w:hint="eastAsia" w:ascii="Times New Roman"/>
                <w:w w:val="99"/>
                <w:sz w:val="21"/>
                <w:u w:val="single"/>
                <w:lang w:val="en-US" w:eastAsia="zh-CN"/>
              </w:rPr>
              <w:t>14</w:t>
            </w:r>
            <w:r>
              <w:rPr>
                <w:w w:val="99"/>
                <w:sz w:val="21"/>
              </w:rPr>
              <w:t>日</w:t>
            </w:r>
            <w:r>
              <w:rPr>
                <w:spacing w:val="2"/>
                <w:sz w:val="21"/>
              </w:rPr>
              <w:t xml:space="preserve"> </w:t>
            </w:r>
            <w:r>
              <w:rPr>
                <w:rFonts w:hint="eastAsia"/>
                <w:spacing w:val="-1"/>
                <w:w w:val="99"/>
                <w:sz w:val="21"/>
                <w:lang w:eastAsia="zh-CN"/>
              </w:rPr>
              <w:t>下</w:t>
            </w:r>
            <w:r>
              <w:rPr>
                <w:spacing w:val="-1"/>
                <w:w w:val="99"/>
                <w:sz w:val="21"/>
              </w:rPr>
              <w:t>午</w:t>
            </w:r>
            <w:r>
              <w:rPr>
                <w:rFonts w:hint="eastAsia" w:ascii="Times New Roman"/>
                <w:spacing w:val="-1"/>
                <w:w w:val="99"/>
                <w:sz w:val="21"/>
                <w:u w:val="single"/>
                <w:lang w:val="en-US" w:eastAsia="zh-CN"/>
              </w:rPr>
              <w:t>17:</w:t>
            </w:r>
            <w:r>
              <w:rPr>
                <w:rFonts w:hint="eastAsia" w:ascii="Times New Roman"/>
                <w:spacing w:val="1"/>
                <w:w w:val="99"/>
                <w:sz w:val="21"/>
                <w:u w:val="single"/>
                <w:lang w:val="en-US" w:eastAsia="zh-CN"/>
              </w:rPr>
              <w:t>0</w:t>
            </w:r>
            <w:r>
              <w:rPr>
                <w:rFonts w:ascii="Times New Roman" w:eastAsia="Times New Roman"/>
                <w:spacing w:val="1"/>
                <w:w w:val="99"/>
                <w:sz w:val="21"/>
                <w:u w:val="single"/>
              </w:rPr>
              <w:t>0</w:t>
            </w:r>
            <w:r>
              <w:rPr>
                <w:spacing w:val="-1"/>
                <w:w w:val="99"/>
                <w:sz w:val="21"/>
              </w:rPr>
              <w:t>（北京时间</w:t>
            </w:r>
            <w:r>
              <w:rPr>
                <w:spacing w:val="-104"/>
                <w:w w:val="99"/>
                <w:sz w:val="21"/>
              </w:rPr>
              <w:t>）</w:t>
            </w:r>
            <w:r>
              <w:rPr>
                <w:w w:val="99"/>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118" w:type="dxa"/>
            <w:gridSpan w:val="2"/>
            <w:tcBorders>
              <w:left w:val="single" w:color="000000" w:sz="12" w:space="0"/>
              <w:right w:val="single" w:color="000000" w:sz="12" w:space="0"/>
            </w:tcBorders>
            <w:noWrap w:val="0"/>
            <w:vAlign w:val="top"/>
          </w:tcPr>
          <w:p>
            <w:pPr>
              <w:pStyle w:val="12"/>
              <w:tabs>
                <w:tab w:val="left" w:pos="556"/>
                <w:tab w:val="left" w:pos="1082"/>
                <w:tab w:val="left" w:pos="1607"/>
                <w:tab w:val="left" w:pos="2135"/>
              </w:tabs>
              <w:spacing w:before="49"/>
              <w:ind w:left="30"/>
              <w:jc w:val="center"/>
              <w:rPr>
                <w:b/>
                <w:sz w:val="21"/>
              </w:rPr>
            </w:pPr>
            <w:r>
              <w:rPr>
                <w:b/>
                <w:sz w:val="21"/>
              </w:rPr>
              <w:t>开</w:t>
            </w:r>
            <w:r>
              <w:rPr>
                <w:b/>
                <w:sz w:val="21"/>
              </w:rPr>
              <w:tab/>
            </w:r>
            <w:r>
              <w:rPr>
                <w:b/>
                <w:sz w:val="21"/>
              </w:rPr>
              <w:t>标</w:t>
            </w:r>
            <w:r>
              <w:rPr>
                <w:b/>
                <w:sz w:val="21"/>
              </w:rPr>
              <w:tab/>
            </w:r>
            <w:r>
              <w:rPr>
                <w:b/>
                <w:sz w:val="21"/>
              </w:rPr>
              <w:t>与</w:t>
            </w:r>
            <w:r>
              <w:rPr>
                <w:b/>
                <w:sz w:val="21"/>
              </w:rPr>
              <w:tab/>
            </w:r>
            <w:r>
              <w:rPr>
                <w:b/>
                <w:sz w:val="21"/>
              </w:rPr>
              <w:t>评</w:t>
            </w:r>
            <w:r>
              <w:rPr>
                <w:b/>
                <w:sz w:val="21"/>
              </w:rPr>
              <w:tab/>
            </w:r>
            <w:r>
              <w:rPr>
                <w:b/>
                <w:sz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084" w:type="dxa"/>
            <w:tcBorders>
              <w:left w:val="single" w:color="000000" w:sz="12" w:space="0"/>
            </w:tcBorders>
            <w:noWrap w:val="0"/>
            <w:vAlign w:val="top"/>
          </w:tcPr>
          <w:p>
            <w:pPr>
              <w:pStyle w:val="12"/>
              <w:spacing w:before="4"/>
              <w:ind w:left="0"/>
              <w:rPr>
                <w:b/>
                <w:sz w:val="23"/>
              </w:rPr>
            </w:pPr>
          </w:p>
          <w:p>
            <w:pPr>
              <w:pStyle w:val="12"/>
              <w:ind w:left="337" w:right="317"/>
              <w:jc w:val="center"/>
              <w:rPr>
                <w:rFonts w:ascii="Times New Roman"/>
                <w:sz w:val="21"/>
              </w:rPr>
            </w:pPr>
            <w:r>
              <w:rPr>
                <w:rFonts w:ascii="Times New Roman"/>
                <w:sz w:val="21"/>
              </w:rPr>
              <w:t>4.1</w:t>
            </w:r>
          </w:p>
        </w:tc>
        <w:tc>
          <w:tcPr>
            <w:tcW w:w="8034" w:type="dxa"/>
            <w:tcBorders>
              <w:right w:val="single" w:color="000000" w:sz="12" w:space="0"/>
            </w:tcBorders>
            <w:noWrap w:val="0"/>
            <w:vAlign w:val="top"/>
          </w:tcPr>
          <w:p>
            <w:pPr>
              <w:pStyle w:val="12"/>
              <w:spacing w:before="129"/>
              <w:rPr>
                <w:rFonts w:hint="eastAsia" w:eastAsia="宋体"/>
                <w:sz w:val="21"/>
                <w:lang w:eastAsia="zh-CN"/>
              </w:rPr>
            </w:pPr>
            <w:r>
              <w:rPr>
                <w:sz w:val="21"/>
              </w:rPr>
              <w:t>开标日期：</w:t>
            </w:r>
            <w:r>
              <w:rPr>
                <w:rFonts w:ascii="Times New Roman" w:eastAsia="Times New Roman"/>
                <w:sz w:val="21"/>
                <w:u w:val="single"/>
              </w:rPr>
              <w:t>202</w:t>
            </w:r>
            <w:r>
              <w:rPr>
                <w:rFonts w:hint="eastAsia" w:ascii="Times New Roman"/>
                <w:sz w:val="21"/>
                <w:u w:val="single"/>
                <w:lang w:val="en-US" w:eastAsia="zh-CN"/>
              </w:rPr>
              <w:t>4</w:t>
            </w:r>
            <w:r>
              <w:rPr>
                <w:rFonts w:ascii="Times New Roman" w:eastAsia="Times New Roman"/>
                <w:sz w:val="21"/>
              </w:rPr>
              <w:t xml:space="preserve"> </w:t>
            </w:r>
            <w:r>
              <w:rPr>
                <w:sz w:val="21"/>
              </w:rPr>
              <w:t>年</w:t>
            </w:r>
            <w:r>
              <w:rPr>
                <w:sz w:val="21"/>
                <w:u w:val="single"/>
              </w:rPr>
              <w:t xml:space="preserve"> </w:t>
            </w:r>
            <w:r>
              <w:rPr>
                <w:rFonts w:hint="eastAsia" w:ascii="Times New Roman"/>
                <w:sz w:val="21"/>
                <w:u w:val="single"/>
                <w:lang w:val="en-US" w:eastAsia="zh-CN"/>
              </w:rPr>
              <w:t>04</w:t>
            </w:r>
            <w:r>
              <w:rPr>
                <w:sz w:val="21"/>
              </w:rPr>
              <w:t xml:space="preserve">月 </w:t>
            </w:r>
            <w:r>
              <w:rPr>
                <w:rFonts w:hint="eastAsia" w:ascii="Times New Roman"/>
                <w:sz w:val="21"/>
                <w:u w:val="single"/>
                <w:lang w:val="en-US" w:eastAsia="zh-CN"/>
              </w:rPr>
              <w:t>15</w:t>
            </w:r>
            <w:r>
              <w:rPr>
                <w:sz w:val="21"/>
              </w:rPr>
              <w:t>日星期</w:t>
            </w:r>
            <w:r>
              <w:rPr>
                <w:rFonts w:hint="eastAsia"/>
                <w:sz w:val="21"/>
                <w:lang w:eastAsia="zh-CN"/>
              </w:rPr>
              <w:t>一</w:t>
            </w:r>
          </w:p>
          <w:p>
            <w:pPr>
              <w:pStyle w:val="12"/>
              <w:spacing w:before="43"/>
              <w:rPr>
                <w:sz w:val="21"/>
              </w:rPr>
            </w:pPr>
            <w:r>
              <w:rPr>
                <w:sz w:val="21"/>
              </w:rPr>
              <w:t>开标地点：湖北华丹医药科技股份有限公司会议室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84" w:type="dxa"/>
            <w:tcBorders>
              <w:left w:val="single" w:color="000000" w:sz="12" w:space="0"/>
            </w:tcBorders>
            <w:noWrap w:val="0"/>
            <w:vAlign w:val="top"/>
          </w:tcPr>
          <w:p>
            <w:pPr>
              <w:pStyle w:val="12"/>
              <w:ind w:left="0"/>
              <w:rPr>
                <w:b/>
                <w:sz w:val="27"/>
              </w:rPr>
            </w:pPr>
          </w:p>
          <w:p>
            <w:pPr>
              <w:pStyle w:val="12"/>
              <w:ind w:left="337" w:right="317"/>
              <w:jc w:val="center"/>
              <w:rPr>
                <w:rFonts w:ascii="Times New Roman"/>
                <w:sz w:val="21"/>
              </w:rPr>
            </w:pPr>
            <w:r>
              <w:rPr>
                <w:rFonts w:ascii="Times New Roman"/>
                <w:sz w:val="21"/>
              </w:rPr>
              <w:t>4.2</w:t>
            </w:r>
          </w:p>
        </w:tc>
        <w:tc>
          <w:tcPr>
            <w:tcW w:w="8034" w:type="dxa"/>
            <w:tcBorders>
              <w:right w:val="single" w:color="000000" w:sz="12" w:space="0"/>
            </w:tcBorders>
            <w:noWrap w:val="0"/>
            <w:vAlign w:val="top"/>
          </w:tcPr>
          <w:p>
            <w:pPr>
              <w:pStyle w:val="12"/>
              <w:spacing w:line="269" w:lineRule="exact"/>
              <w:rPr>
                <w:sz w:val="21"/>
              </w:rPr>
            </w:pPr>
            <w:r>
              <w:rPr>
                <w:sz w:val="21"/>
              </w:rPr>
              <w:t>合同签订生效后，</w:t>
            </w:r>
            <w:r>
              <w:rPr>
                <w:rFonts w:hint="eastAsia" w:ascii="Times New Roman"/>
                <w:sz w:val="21"/>
                <w:lang w:eastAsia="zh-CN"/>
              </w:rPr>
              <w:t>按照附件执行</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084" w:type="dxa"/>
            <w:vMerge w:val="restart"/>
            <w:tcBorders>
              <w:left w:val="single" w:color="000000" w:sz="12" w:space="0"/>
            </w:tcBorders>
            <w:noWrap w:val="0"/>
            <w:vAlign w:val="top"/>
          </w:tcPr>
          <w:p>
            <w:pPr>
              <w:pStyle w:val="12"/>
              <w:ind w:left="0"/>
              <w:rPr>
                <w:b/>
                <w:sz w:val="22"/>
              </w:rPr>
            </w:pPr>
          </w:p>
          <w:p>
            <w:pPr>
              <w:pStyle w:val="12"/>
              <w:ind w:left="0"/>
              <w:rPr>
                <w:b/>
                <w:sz w:val="22"/>
              </w:rPr>
            </w:pPr>
          </w:p>
          <w:p>
            <w:pPr>
              <w:pStyle w:val="12"/>
              <w:ind w:left="0"/>
              <w:rPr>
                <w:b/>
                <w:sz w:val="22"/>
              </w:rPr>
            </w:pPr>
          </w:p>
          <w:p>
            <w:pPr>
              <w:pStyle w:val="12"/>
              <w:ind w:left="0"/>
              <w:rPr>
                <w:b/>
                <w:sz w:val="22"/>
              </w:rPr>
            </w:pPr>
          </w:p>
          <w:p>
            <w:pPr>
              <w:pStyle w:val="12"/>
              <w:spacing w:before="178"/>
              <w:ind w:left="337" w:right="317"/>
              <w:jc w:val="center"/>
              <w:rPr>
                <w:rFonts w:ascii="Times New Roman"/>
                <w:sz w:val="21"/>
              </w:rPr>
            </w:pPr>
            <w:r>
              <w:rPr>
                <w:rFonts w:ascii="Times New Roman"/>
                <w:sz w:val="21"/>
              </w:rPr>
              <w:t>4.3</w:t>
            </w:r>
          </w:p>
        </w:tc>
        <w:tc>
          <w:tcPr>
            <w:tcW w:w="8034" w:type="dxa"/>
            <w:tcBorders>
              <w:bottom w:val="single" w:color="000000" w:sz="4" w:space="0"/>
              <w:right w:val="single" w:color="000000" w:sz="12" w:space="0"/>
            </w:tcBorders>
            <w:noWrap w:val="0"/>
            <w:vAlign w:val="top"/>
          </w:tcPr>
          <w:p>
            <w:pPr>
              <w:pStyle w:val="12"/>
              <w:spacing w:line="267" w:lineRule="exact"/>
              <w:rPr>
                <w:sz w:val="21"/>
              </w:rPr>
            </w:pPr>
            <w:r>
              <w:rPr>
                <w:rFonts w:ascii="Times New Roman" w:eastAsia="Times New Roman"/>
                <w:sz w:val="21"/>
              </w:rPr>
              <w:t>(1)</w:t>
            </w:r>
            <w:r>
              <w:rPr>
                <w:sz w:val="21"/>
              </w:rPr>
              <w:t>投标人应详细注明技术规格及其偏离。如响应的技术规格低于招标文件要求，为偏</w:t>
            </w:r>
            <w:r>
              <w:rPr>
                <w:spacing w:val="-17"/>
                <w:sz w:val="21"/>
              </w:rPr>
              <w:t>离；技术规格高于招标文件要求的不考虑降低评标价格。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vMerge w:val="continue"/>
            <w:tcBorders>
              <w:top w:val="nil"/>
              <w:left w:val="single" w:color="000000" w:sz="12" w:space="0"/>
            </w:tcBorders>
            <w:noWrap w:val="0"/>
            <w:vAlign w:val="top"/>
          </w:tcPr>
          <w:p>
            <w:pPr>
              <w:rPr>
                <w:sz w:val="2"/>
                <w:szCs w:val="2"/>
              </w:rPr>
            </w:pPr>
          </w:p>
        </w:tc>
        <w:tc>
          <w:tcPr>
            <w:tcW w:w="8034" w:type="dxa"/>
            <w:tcBorders>
              <w:top w:val="single" w:color="000000" w:sz="4" w:space="0"/>
              <w:bottom w:val="single" w:color="000000" w:sz="4" w:space="0"/>
              <w:right w:val="single" w:color="000000" w:sz="12" w:space="0"/>
            </w:tcBorders>
            <w:noWrap w:val="0"/>
            <w:vAlign w:val="top"/>
          </w:tcPr>
          <w:p>
            <w:pPr>
              <w:pStyle w:val="12"/>
              <w:spacing w:before="23" w:line="268" w:lineRule="exact"/>
              <w:rPr>
                <w:sz w:val="21"/>
              </w:rPr>
            </w:pPr>
            <w:r>
              <w:rPr>
                <w:rFonts w:ascii="Times New Roman" w:eastAsia="Times New Roman"/>
                <w:sz w:val="21"/>
              </w:rPr>
              <w:t>(2)</w:t>
            </w:r>
            <w:r>
              <w:rPr>
                <w:sz w:val="21"/>
              </w:rPr>
              <w:t>对招标文件已做要求，但投标人未予以响应的，按不满足要求处理。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4" w:type="dxa"/>
            <w:vMerge w:val="continue"/>
            <w:tcBorders>
              <w:top w:val="nil"/>
              <w:left w:val="single" w:color="000000" w:sz="12" w:space="0"/>
            </w:tcBorders>
            <w:noWrap w:val="0"/>
            <w:vAlign w:val="top"/>
          </w:tcPr>
          <w:p>
            <w:pPr>
              <w:rPr>
                <w:sz w:val="2"/>
                <w:szCs w:val="2"/>
              </w:rPr>
            </w:pPr>
          </w:p>
        </w:tc>
        <w:tc>
          <w:tcPr>
            <w:tcW w:w="8034" w:type="dxa"/>
            <w:tcBorders>
              <w:top w:val="single" w:color="000000" w:sz="4" w:space="0"/>
              <w:right w:val="single" w:color="000000" w:sz="12" w:space="0"/>
            </w:tcBorders>
            <w:noWrap w:val="0"/>
            <w:vAlign w:val="top"/>
          </w:tcPr>
          <w:p>
            <w:pPr>
              <w:pStyle w:val="12"/>
              <w:spacing w:before="23"/>
              <w:rPr>
                <w:sz w:val="21"/>
              </w:rPr>
            </w:pPr>
            <w:r>
              <w:rPr>
                <w:rFonts w:ascii="Times New Roman" w:eastAsia="Times New Roman"/>
                <w:sz w:val="21"/>
              </w:rPr>
              <w:t>(3)</w:t>
            </w:r>
            <w:r>
              <w:rPr>
                <w:sz w:val="21"/>
              </w:rPr>
              <w:t>如发现投标人所投实际技术参数与投标文件中描述的技术参数不相符合，招标人将</w:t>
            </w:r>
          </w:p>
          <w:p>
            <w:pPr>
              <w:pStyle w:val="12"/>
              <w:spacing w:before="43"/>
              <w:rPr>
                <w:sz w:val="21"/>
              </w:rPr>
            </w:pPr>
            <w:r>
              <w:rPr>
                <w:sz w:val="21"/>
              </w:rPr>
              <w:t>视该项技术响应为不合格。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84" w:type="dxa"/>
            <w:vMerge w:val="continue"/>
            <w:tcBorders>
              <w:top w:val="nil"/>
              <w:left w:val="single" w:color="000000" w:sz="12" w:space="0"/>
            </w:tcBorders>
            <w:noWrap w:val="0"/>
            <w:vAlign w:val="top"/>
          </w:tcPr>
          <w:p>
            <w:pPr>
              <w:rPr>
                <w:sz w:val="2"/>
                <w:szCs w:val="2"/>
              </w:rPr>
            </w:pPr>
          </w:p>
        </w:tc>
        <w:tc>
          <w:tcPr>
            <w:tcW w:w="8034" w:type="dxa"/>
            <w:tcBorders>
              <w:right w:val="single" w:color="000000" w:sz="12" w:space="0"/>
            </w:tcBorders>
            <w:noWrap w:val="0"/>
            <w:vAlign w:val="top"/>
          </w:tcPr>
          <w:p>
            <w:pPr>
              <w:pStyle w:val="12"/>
              <w:spacing w:before="20"/>
              <w:ind w:right="-29"/>
              <w:rPr>
                <w:sz w:val="21"/>
              </w:rPr>
            </w:pPr>
            <w:r>
              <w:rPr>
                <w:rFonts w:ascii="Times New Roman" w:eastAsia="Times New Roman"/>
                <w:sz w:val="21"/>
              </w:rPr>
              <w:t>(4)</w:t>
            </w:r>
            <w:r>
              <w:rPr>
                <w:sz w:val="21"/>
              </w:rPr>
              <w:t>可以补充说明超出招标文件要求范围的配置、附加功能及服务项目、赠送的产品及</w:t>
            </w:r>
          </w:p>
          <w:p>
            <w:pPr>
              <w:pStyle w:val="12"/>
              <w:spacing w:before="20"/>
              <w:ind w:right="-29"/>
              <w:rPr>
                <w:sz w:val="21"/>
              </w:rPr>
            </w:pPr>
            <w:r>
              <w:rPr>
                <w:sz w:val="21"/>
              </w:rPr>
              <w:t>服务，如含在投标总价中，在评标时不作扣减；如不含在总价中，请说明并列出单价；否则，将被视为已含在总价中。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6" w:hRule="atLeast"/>
        </w:trPr>
        <w:tc>
          <w:tcPr>
            <w:tcW w:w="1084" w:type="dxa"/>
            <w:tcBorders>
              <w:left w:val="single" w:color="000000" w:sz="12" w:space="0"/>
            </w:tcBorders>
            <w:noWrap w:val="0"/>
            <w:vAlign w:val="top"/>
          </w:tcPr>
          <w:p>
            <w:pPr>
              <w:pStyle w:val="12"/>
              <w:ind w:left="0"/>
              <w:rPr>
                <w:b/>
                <w:sz w:val="22"/>
              </w:rPr>
            </w:pPr>
          </w:p>
          <w:p>
            <w:pPr>
              <w:pStyle w:val="12"/>
              <w:ind w:left="0"/>
              <w:rPr>
                <w:b/>
                <w:sz w:val="22"/>
              </w:rPr>
            </w:pPr>
          </w:p>
          <w:p>
            <w:pPr>
              <w:pStyle w:val="12"/>
              <w:ind w:left="0"/>
              <w:rPr>
                <w:b/>
                <w:sz w:val="22"/>
              </w:rPr>
            </w:pPr>
          </w:p>
          <w:p>
            <w:pPr>
              <w:pStyle w:val="12"/>
              <w:spacing w:before="12"/>
              <w:ind w:left="0"/>
              <w:rPr>
                <w:b/>
                <w:sz w:val="28"/>
              </w:rPr>
            </w:pPr>
          </w:p>
          <w:p>
            <w:pPr>
              <w:pStyle w:val="12"/>
              <w:ind w:left="337" w:right="317"/>
              <w:jc w:val="center"/>
              <w:rPr>
                <w:rFonts w:ascii="Times New Roman"/>
                <w:sz w:val="21"/>
              </w:rPr>
            </w:pPr>
            <w:r>
              <w:rPr>
                <w:rFonts w:ascii="Times New Roman"/>
                <w:sz w:val="21"/>
              </w:rPr>
              <w:t>*4.4</w:t>
            </w:r>
          </w:p>
        </w:tc>
        <w:tc>
          <w:tcPr>
            <w:tcW w:w="8034" w:type="dxa"/>
            <w:tcBorders>
              <w:right w:val="single" w:color="000000" w:sz="12" w:space="0"/>
            </w:tcBorders>
            <w:noWrap w:val="0"/>
            <w:vAlign w:val="top"/>
          </w:tcPr>
          <w:p>
            <w:pPr>
              <w:pStyle w:val="12"/>
              <w:spacing w:before="102"/>
              <w:rPr>
                <w:sz w:val="21"/>
              </w:rPr>
            </w:pPr>
            <w:r>
              <w:rPr>
                <w:sz w:val="21"/>
              </w:rPr>
              <w:t>投标人应遵守的纪律：</w:t>
            </w:r>
          </w:p>
          <w:p>
            <w:pPr>
              <w:pStyle w:val="12"/>
              <w:spacing w:before="102"/>
              <w:rPr>
                <w:sz w:val="21"/>
              </w:rPr>
            </w:pPr>
            <w:r>
              <w:rPr>
                <w:sz w:val="21"/>
              </w:rPr>
              <w:t>1、投标人申报的关于资质等文件和材料必须真实准确，不得弄虚作假；</w:t>
            </w:r>
          </w:p>
          <w:p>
            <w:pPr>
              <w:pStyle w:val="12"/>
              <w:spacing w:before="102"/>
              <w:rPr>
                <w:sz w:val="21"/>
              </w:rPr>
            </w:pPr>
            <w:r>
              <w:rPr>
                <w:sz w:val="21"/>
              </w:rPr>
              <w:t>2、投标人不得串通作弊，哄抬标价，致使定标困难或无法定标；</w:t>
            </w:r>
          </w:p>
          <w:p>
            <w:pPr>
              <w:pStyle w:val="12"/>
              <w:spacing w:before="102"/>
              <w:rPr>
                <w:sz w:val="21"/>
              </w:rPr>
            </w:pPr>
            <w:r>
              <w:rPr>
                <w:sz w:val="21"/>
              </w:rPr>
              <w:t>3、投标人不得采用不正当手段妨碍、排挤其它投标人，扰乱招标市场，破坏公平竞争；</w:t>
            </w:r>
          </w:p>
          <w:p>
            <w:pPr>
              <w:pStyle w:val="12"/>
              <w:spacing w:before="102"/>
              <w:rPr>
                <w:sz w:val="21"/>
              </w:rPr>
            </w:pPr>
            <w:r>
              <w:rPr>
                <w:sz w:val="21"/>
              </w:rPr>
              <w:t>4、投标人不得以任何形式打听和搜集评标机密，不得以任何形式干扰评标和授标工作；</w:t>
            </w:r>
          </w:p>
          <w:p>
            <w:pPr>
              <w:pStyle w:val="12"/>
              <w:spacing w:before="102"/>
              <w:rPr>
                <w:sz w:val="21"/>
              </w:rPr>
            </w:pPr>
            <w:r>
              <w:rPr>
                <w:sz w:val="21"/>
              </w:rPr>
              <w:t>5、投标人应以快件形式如顺</w:t>
            </w:r>
            <w:r>
              <w:rPr>
                <w:rFonts w:hint="eastAsia"/>
                <w:sz w:val="21"/>
                <w:lang w:val="en-US" w:eastAsia="zh-CN"/>
              </w:rPr>
              <w:t>丰</w:t>
            </w:r>
            <w:r>
              <w:rPr>
                <w:sz w:val="21"/>
              </w:rPr>
              <w:t>、邮政等寄给标书投递联系人：</w:t>
            </w:r>
            <w:r>
              <w:rPr>
                <w:rFonts w:hint="eastAsia"/>
                <w:sz w:val="21"/>
                <w:lang w:val="en-US" w:eastAsia="zh-CN"/>
              </w:rPr>
              <w:t>张传娥</w:t>
            </w:r>
            <w:r>
              <w:rPr>
                <w:sz w:val="21"/>
              </w:rPr>
              <w:t>（收），联系电话：</w:t>
            </w:r>
            <w:r>
              <w:rPr>
                <w:rFonts w:hint="eastAsia"/>
                <w:sz w:val="21"/>
                <w:lang w:val="en-US" w:eastAsia="zh-CN"/>
              </w:rPr>
              <w:t>15151145790</w:t>
            </w:r>
            <w:r>
              <w:rPr>
                <w:sz w:val="21"/>
              </w:rPr>
              <w:t>，投递时请在邮寄单上注明：</w:t>
            </w:r>
            <w:r>
              <w:rPr>
                <w:rFonts w:hint="eastAsia"/>
                <w:b/>
                <w:bCs/>
                <w:sz w:val="21"/>
                <w:lang w:eastAsia="zh-CN"/>
              </w:rPr>
              <w:t>在线运维</w:t>
            </w:r>
            <w:r>
              <w:rPr>
                <w:sz w:val="21"/>
              </w:rPr>
              <w:t>；</w:t>
            </w:r>
          </w:p>
          <w:p>
            <w:pPr>
              <w:pStyle w:val="12"/>
              <w:spacing w:before="102"/>
              <w:rPr>
                <w:sz w:val="21"/>
              </w:rPr>
            </w:pPr>
            <w:r>
              <w:rPr>
                <w:sz w:val="21"/>
              </w:rPr>
              <w:t>投标人若违反上述要求，其投标将被废除。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9118" w:type="dxa"/>
            <w:gridSpan w:val="2"/>
            <w:tcBorders>
              <w:left w:val="single" w:color="000000" w:sz="12" w:space="0"/>
              <w:right w:val="single" w:color="000000" w:sz="12" w:space="0"/>
            </w:tcBorders>
            <w:noWrap w:val="0"/>
            <w:vAlign w:val="top"/>
          </w:tcPr>
          <w:p>
            <w:pPr>
              <w:pStyle w:val="12"/>
              <w:spacing w:before="93"/>
              <w:ind w:left="38"/>
              <w:jc w:val="center"/>
              <w:rPr>
                <w:b/>
                <w:sz w:val="21"/>
              </w:rPr>
            </w:pPr>
            <w:r>
              <w:rPr>
                <w:b/>
                <w:sz w:val="21"/>
              </w:rPr>
              <w:t>适用于本投标人须知其他条款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right w:val="single" w:color="000000" w:sz="12" w:space="0"/>
            </w:tcBorders>
            <w:noWrap w:val="0"/>
            <w:vAlign w:val="top"/>
          </w:tcPr>
          <w:p>
            <w:pPr>
              <w:pStyle w:val="12"/>
              <w:spacing w:before="20"/>
              <w:ind w:left="107"/>
              <w:rPr>
                <w:sz w:val="21"/>
              </w:rPr>
            </w:pPr>
            <w:r>
              <w:rPr>
                <w:sz w:val="21"/>
              </w:rPr>
              <w:t>适用法律、法规：</w:t>
            </w:r>
          </w:p>
          <w:p>
            <w:pPr>
              <w:pStyle w:val="12"/>
              <w:spacing w:before="43"/>
              <w:ind w:left="107"/>
              <w:rPr>
                <w:sz w:val="21"/>
              </w:rPr>
            </w:pPr>
            <w:r>
              <w:rPr>
                <w:sz w:val="21"/>
              </w:rPr>
              <w:t>《中华人民共和国招标投标法》</w:t>
            </w:r>
          </w:p>
          <w:p>
            <w:pPr>
              <w:pStyle w:val="12"/>
              <w:spacing w:before="43"/>
              <w:ind w:left="107"/>
              <w:rPr>
                <w:sz w:val="21"/>
              </w:rPr>
            </w:pPr>
            <w:r>
              <w:rPr>
                <w:sz w:val="21"/>
              </w:rPr>
              <w:t>《中华人民共和国民法典》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9118" w:type="dxa"/>
            <w:gridSpan w:val="2"/>
            <w:tcBorders>
              <w:left w:val="single" w:color="000000" w:sz="12" w:space="0"/>
              <w:right w:val="single" w:color="000000" w:sz="12" w:space="0"/>
            </w:tcBorders>
            <w:noWrap w:val="0"/>
            <w:vAlign w:val="top"/>
          </w:tcPr>
          <w:p>
            <w:pPr>
              <w:pStyle w:val="12"/>
              <w:spacing w:before="22" w:line="278" w:lineRule="auto"/>
              <w:ind w:left="107" w:right="77"/>
              <w:jc w:val="both"/>
              <w:rPr>
                <w:sz w:val="21"/>
              </w:rPr>
            </w:pPr>
            <w:r>
              <w:rPr>
                <w:sz w:val="21"/>
              </w:rPr>
              <w:t>中标人在接到《中标通知书》后，必须在规定的时间内，准时派授权代表到指定地点按招标文件规定的合同条款和格式签订合同。中标人不得对合同价格、合同条款、技术要求和供货范围等内容与中标状态有任何改变，如果上述内容发生重大变动，而不符合招标人的要求时，招标人有权</w:t>
            </w:r>
          </w:p>
          <w:p>
            <w:pPr>
              <w:pStyle w:val="12"/>
              <w:spacing w:line="269" w:lineRule="exact"/>
              <w:ind w:left="107"/>
              <w:rPr>
                <w:sz w:val="21"/>
              </w:rPr>
            </w:pPr>
            <w:r>
              <w:rPr>
                <w:sz w:val="21"/>
              </w:rPr>
              <w:t>终止与中标人签约。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bottom w:val="single" w:color="000000" w:sz="12" w:space="0"/>
              <w:right w:val="single" w:color="000000" w:sz="12" w:space="0"/>
            </w:tcBorders>
            <w:noWrap w:val="0"/>
            <w:vAlign w:val="top"/>
          </w:tcPr>
          <w:p>
            <w:pPr>
              <w:pStyle w:val="12"/>
              <w:spacing w:before="21" w:line="278" w:lineRule="auto"/>
              <w:ind w:left="107" w:right="77"/>
              <w:rPr>
                <w:sz w:val="21"/>
              </w:rPr>
            </w:pPr>
            <w:r>
              <w:rPr>
                <w:sz w:val="21"/>
              </w:rPr>
              <w:t>如果招标人在签约过程中认定中标人不具备履行合同的能力，招标人有权终止与其签约，并将其投标废弃。在这种情况下，招标人将选择下一个最低评标价的投标人，并做出同样的判定。招标</w:t>
            </w:r>
          </w:p>
          <w:p>
            <w:pPr>
              <w:pStyle w:val="12"/>
              <w:spacing w:line="269" w:lineRule="exact"/>
              <w:ind w:left="107"/>
              <w:rPr>
                <w:sz w:val="21"/>
              </w:rPr>
            </w:pPr>
            <w:r>
              <w:rPr>
                <w:sz w:val="21"/>
              </w:rPr>
              <w:t>人最终将把合同授予被确认为有能力圆满履行合同义务的投标人。</w:t>
            </w:r>
          </w:p>
        </w:tc>
      </w:tr>
    </w:tbl>
    <w:p>
      <w:pPr>
        <w:pStyle w:val="2"/>
        <w:spacing w:before="3"/>
        <w:rPr>
          <w:b/>
          <w:sz w:val="20"/>
        </w:rPr>
      </w:pPr>
    </w:p>
    <w:p>
      <w:pPr>
        <w:tabs>
          <w:tab w:val="left" w:pos="1383"/>
        </w:tabs>
        <w:spacing w:before="55"/>
        <w:ind w:left="96" w:right="0" w:firstLine="0"/>
        <w:jc w:val="center"/>
        <w:rPr>
          <w:b/>
          <w:sz w:val="32"/>
        </w:rPr>
      </w:pPr>
      <w:bookmarkStart w:id="0" w:name="第三章  合同主要内容及条款"/>
      <w:bookmarkEnd w:id="0"/>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tabs>
          <w:tab w:val="left" w:pos="1383"/>
        </w:tabs>
        <w:spacing w:before="55"/>
        <w:ind w:left="96" w:right="0" w:firstLine="0"/>
        <w:jc w:val="center"/>
        <w:rPr>
          <w:b/>
          <w:sz w:val="32"/>
        </w:rPr>
      </w:pPr>
    </w:p>
    <w:p>
      <w:pPr>
        <w:numPr>
          <w:ilvl w:val="0"/>
          <w:numId w:val="4"/>
        </w:numPr>
        <w:tabs>
          <w:tab w:val="left" w:pos="1383"/>
        </w:tabs>
        <w:spacing w:before="55"/>
        <w:ind w:left="96" w:right="0" w:firstLine="0"/>
        <w:jc w:val="center"/>
        <w:rPr>
          <w:b/>
          <w:sz w:val="32"/>
        </w:rPr>
      </w:pPr>
      <w:r>
        <w:rPr>
          <w:b/>
          <w:sz w:val="32"/>
        </w:rPr>
        <w:t>合同主要内容及条款</w:t>
      </w:r>
    </w:p>
    <w:p>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合同由招标方和中标单位按照《中华人民共和国民法典》、《招标文件》、《投标文件》的有关规定等共同制定，同时应需要满足以下基本条款：</w:t>
      </w:r>
    </w:p>
    <w:p>
      <w:pPr>
        <w:pStyle w:val="2"/>
        <w:spacing w:line="355" w:lineRule="auto"/>
        <w:ind w:right="205" w:firstLine="720" w:firstLineChars="300"/>
        <w:rPr>
          <w:rFonts w:hint="default"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一、服务内容：</w:t>
      </w:r>
      <w:r>
        <w:rPr>
          <w:rFonts w:hint="eastAsia" w:ascii="宋体" w:hAnsi="宋体" w:cs="Times New Roman"/>
          <w:b w:val="0"/>
          <w:bCs w:val="0"/>
          <w:color w:val="000000"/>
          <w:kern w:val="2"/>
          <w:sz w:val="24"/>
          <w:szCs w:val="24"/>
          <w:lang w:val="en-US" w:eastAsia="zh-CN" w:bidi="ar-SA"/>
        </w:rPr>
        <w:t>COD在线仪，氨氮在线仪，环保数采仪，明渠流量计，</w:t>
      </w:r>
      <w:r>
        <w:rPr>
          <w:rFonts w:hint="eastAsia" w:ascii="宋体" w:hAnsi="宋体" w:cs="Times New Roman"/>
          <w:b w:val="0"/>
          <w:bCs w:val="0"/>
          <w:color w:val="000000"/>
          <w:kern w:val="2"/>
          <w:sz w:val="24"/>
          <w:szCs w:val="24"/>
          <w:lang w:val="en-US" w:eastAsia="zh-CN" w:bidi="ar-SA"/>
        </w:rPr>
        <w:t>PH</w:t>
      </w:r>
    </w:p>
    <w:p>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二、服务期：为合同签订之日起12个月。</w:t>
      </w:r>
    </w:p>
    <w:p>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三、 服务地点：湖北省钟祥市经济开发区西环三路 21 号——湖北华丹医药科技股份有限公司。</w:t>
      </w:r>
    </w:p>
    <w:p>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四、价款：该价格是包干价，包含了完成本项目的人力成本、设备成本、交通费、管理费、利润、税金等在内的完成本项目所需的全部费用内容。乙方如在投标报价中有掉项漏项的，采购人将视为该漏报或不报部分的费用已包括在已报的分项报价中而不予支付。</w:t>
      </w:r>
    </w:p>
    <w:p>
      <w:pPr>
        <w:pStyle w:val="2"/>
        <w:spacing w:line="355" w:lineRule="auto"/>
        <w:ind w:right="205" w:firstLine="720" w:firstLineChars="300"/>
        <w:rPr>
          <w:rFonts w:hint="default" w:ascii="宋体" w:hAnsi="宋体" w:cs="Times New Roman"/>
          <w:b w:val="0"/>
          <w:bCs w:val="0"/>
          <w:color w:val="000000"/>
          <w:kern w:val="2"/>
          <w:sz w:val="24"/>
          <w:szCs w:val="24"/>
          <w:lang w:val="en-US" w:eastAsia="zh-CN" w:bidi="ar-SA"/>
        </w:rPr>
      </w:pPr>
      <w:r>
        <w:rPr>
          <w:rFonts w:hint="eastAsia" w:ascii="宋体" w:hAnsi="宋体" w:cs="Times New Roman"/>
          <w:b w:val="0"/>
          <w:bCs w:val="0"/>
          <w:color w:val="000000"/>
          <w:kern w:val="2"/>
          <w:sz w:val="24"/>
          <w:szCs w:val="24"/>
          <w:lang w:val="en-US" w:eastAsia="zh-CN" w:bidi="ar-SA"/>
        </w:rPr>
        <w:t>五、付款方式：合同签订后甲方收到乙方发票15个工作日内，支付50%费用，服务期满后甲方收到乙方发票15个工作日内，支付全部剩余费用。</w:t>
      </w:r>
    </w:p>
    <w:p>
      <w:pPr>
        <w:pStyle w:val="2"/>
        <w:spacing w:line="355" w:lineRule="auto"/>
        <w:ind w:right="205" w:firstLine="720" w:firstLineChars="300"/>
        <w:rPr>
          <w:rFonts w:hint="default" w:ascii="宋体" w:hAnsi="宋体" w:cs="Times New Roman"/>
          <w:b w:val="0"/>
          <w:bCs w:val="0"/>
          <w:color w:val="000000"/>
          <w:kern w:val="2"/>
          <w:sz w:val="24"/>
          <w:szCs w:val="24"/>
          <w:lang w:val="en-US" w:eastAsia="zh-CN" w:bidi="ar-SA"/>
        </w:rPr>
      </w:pPr>
    </w:p>
    <w:p>
      <w:pPr>
        <w:pStyle w:val="2"/>
        <w:spacing w:line="355" w:lineRule="auto"/>
        <w:ind w:right="205" w:firstLine="720" w:firstLineChars="300"/>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3"/>
        <w:rPr>
          <w:rFonts w:hint="eastAsia" w:ascii="宋体" w:hAnsi="宋体" w:cs="Times New Roman"/>
          <w:b w:val="0"/>
          <w:bCs w:val="0"/>
          <w:color w:val="000000"/>
          <w:kern w:val="2"/>
          <w:sz w:val="24"/>
          <w:szCs w:val="24"/>
          <w:lang w:val="en-US" w:eastAsia="zh-CN" w:bidi="ar-SA"/>
        </w:rPr>
      </w:pPr>
    </w:p>
    <w:p>
      <w:pPr>
        <w:pStyle w:val="2"/>
        <w:spacing w:before="12"/>
        <w:rPr>
          <w:b/>
          <w:sz w:val="38"/>
        </w:rPr>
      </w:pPr>
      <w:bookmarkStart w:id="1" w:name="_GoBack"/>
      <w:bookmarkEnd w:id="1"/>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2"/>
        <w:gridCol w:w="855"/>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trPr>
        <w:tc>
          <w:tcPr>
            <w:tcW w:w="543" w:type="dxa"/>
            <w:tcMar>
              <w:top w:w="0" w:type="dxa"/>
              <w:left w:w="108" w:type="dxa"/>
              <w:bottom w:w="0" w:type="dxa"/>
              <w:right w:w="108" w:type="dxa"/>
            </w:tcMar>
            <w:vAlign w:val="center"/>
          </w:tcPr>
          <w:p>
            <w:pPr>
              <w:widowControl/>
              <w:spacing w:before="100" w:beforeAutospacing="1" w:after="100" w:afterAutospacing="1" w:line="77" w:lineRule="atLeast"/>
              <w:ind w:right="-58"/>
              <w:jc w:val="center"/>
              <w:rPr>
                <w:rFonts w:hint="eastAsia" w:ascii="宋体" w:hAnsi="宋体" w:cs="宋体"/>
                <w:kern w:val="0"/>
                <w:sz w:val="20"/>
                <w:szCs w:val="20"/>
              </w:rPr>
            </w:pPr>
            <w:r>
              <w:rPr>
                <w:rFonts w:hint="eastAsia" w:ascii="宋体" w:hAnsi="宋体" w:cs="宋体"/>
                <w:b/>
                <w:bCs/>
                <w:kern w:val="0"/>
                <w:szCs w:val="21"/>
              </w:rPr>
              <w:t>序号</w:t>
            </w:r>
          </w:p>
        </w:tc>
        <w:tc>
          <w:tcPr>
            <w:tcW w:w="746"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cs="宋体"/>
                <w:kern w:val="0"/>
                <w:sz w:val="20"/>
                <w:szCs w:val="20"/>
              </w:rPr>
            </w:pPr>
            <w:r>
              <w:rPr>
                <w:rFonts w:hint="eastAsia" w:ascii="宋体" w:hAnsi="宋体" w:cs="宋体"/>
                <w:b/>
                <w:bCs/>
                <w:kern w:val="0"/>
                <w:szCs w:val="21"/>
              </w:rPr>
              <w:t>运营服务项目</w:t>
            </w:r>
          </w:p>
        </w:tc>
        <w:tc>
          <w:tcPr>
            <w:tcW w:w="7233" w:type="dxa"/>
            <w:tcMar>
              <w:top w:w="0" w:type="dxa"/>
              <w:left w:w="108" w:type="dxa"/>
              <w:bottom w:w="0" w:type="dxa"/>
              <w:right w:w="108" w:type="dxa"/>
            </w:tcMar>
            <w:vAlign w:val="center"/>
          </w:tcPr>
          <w:p>
            <w:pPr>
              <w:widowControl/>
              <w:spacing w:before="100" w:beforeAutospacing="1" w:after="100" w:afterAutospacing="1" w:line="77" w:lineRule="atLeast"/>
              <w:ind w:right="-58"/>
              <w:jc w:val="center"/>
              <w:rPr>
                <w:rFonts w:hint="eastAsia" w:ascii="宋体" w:hAnsi="宋体" w:cs="宋体"/>
                <w:kern w:val="0"/>
                <w:sz w:val="20"/>
                <w:szCs w:val="20"/>
              </w:rPr>
            </w:pPr>
            <w:r>
              <w:rPr>
                <w:rFonts w:hint="eastAsia" w:ascii="宋体" w:hAnsi="宋体" w:cs="宋体"/>
                <w:b/>
                <w:bCs/>
                <w:kern w:val="0"/>
                <w:szCs w:val="21"/>
              </w:rPr>
              <w:t>运营服务具体内容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9" w:hRule="atLeast"/>
        </w:trPr>
        <w:tc>
          <w:tcPr>
            <w:tcW w:w="543" w:type="dxa"/>
            <w:tcMar>
              <w:top w:w="0" w:type="dxa"/>
              <w:left w:w="108" w:type="dxa"/>
              <w:bottom w:w="0" w:type="dxa"/>
              <w:right w:w="108" w:type="dxa"/>
            </w:tcMar>
            <w:vAlign w:val="center"/>
          </w:tcPr>
          <w:p>
            <w:pPr>
              <w:widowControl/>
              <w:spacing w:before="100" w:beforeAutospacing="1" w:after="100" w:afterAutospacing="1" w:line="77" w:lineRule="atLeast"/>
              <w:ind w:right="-58"/>
              <w:jc w:val="center"/>
              <w:rPr>
                <w:rFonts w:hint="eastAsia" w:ascii="宋体" w:hAnsi="宋体" w:cs="宋体"/>
                <w:kern w:val="0"/>
                <w:sz w:val="22"/>
                <w:szCs w:val="22"/>
              </w:rPr>
            </w:pPr>
            <w:r>
              <w:rPr>
                <w:rFonts w:hint="eastAsia" w:ascii="宋体" w:hAnsi="宋体" w:cs="宋体"/>
                <w:kern w:val="0"/>
                <w:szCs w:val="21"/>
              </w:rPr>
              <w:t>1</w:t>
            </w:r>
          </w:p>
        </w:tc>
        <w:tc>
          <w:tcPr>
            <w:tcW w:w="746"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运营职责</w:t>
            </w:r>
          </w:p>
        </w:tc>
        <w:tc>
          <w:tcPr>
            <w:tcW w:w="7233" w:type="dxa"/>
            <w:tcMar>
              <w:top w:w="0" w:type="dxa"/>
              <w:left w:w="108" w:type="dxa"/>
              <w:bottom w:w="0" w:type="dxa"/>
              <w:right w:w="108" w:type="dxa"/>
            </w:tcMar>
            <w:vAlign w:val="center"/>
          </w:tcPr>
          <w:p>
            <w:pPr>
              <w:widowControl/>
              <w:numPr>
                <w:ilvl w:val="0"/>
                <w:numId w:val="5"/>
              </w:numPr>
              <w:autoSpaceDE w:val="0"/>
              <w:spacing w:before="100" w:beforeAutospacing="1" w:after="100" w:afterAutospacing="1" w:line="360" w:lineRule="auto"/>
              <w:ind w:right="-58"/>
              <w:jc w:val="left"/>
              <w:rPr>
                <w:rFonts w:hint="eastAsia"/>
              </w:rPr>
            </w:pPr>
            <w:r>
              <w:rPr>
                <w:rFonts w:hint="eastAsia"/>
              </w:rPr>
              <w:t>承担委托责任，保证各在线连续自动监测系统的正常运行。对在线监测站一一对应建立专人负责制，制定操作及维修规程和日常保养制度，建立日常运行记录和设备台帐，建立相应的质量保证体系，并接受环境保护管理部门的台帐检查。</w:t>
            </w:r>
          </w:p>
          <w:p>
            <w:pPr>
              <w:widowControl/>
              <w:numPr>
                <w:ilvl w:val="0"/>
                <w:numId w:val="5"/>
              </w:numPr>
              <w:autoSpaceDE w:val="0"/>
              <w:spacing w:before="100" w:beforeAutospacing="1" w:after="100" w:afterAutospacing="1" w:line="360" w:lineRule="auto"/>
              <w:ind w:right="-58"/>
              <w:jc w:val="left"/>
              <w:rPr>
                <w:rFonts w:hint="eastAsia"/>
              </w:rPr>
            </w:pPr>
            <w:r>
              <w:rPr>
                <w:rFonts w:hint="eastAsia"/>
              </w:rPr>
              <w:t xml:space="preserve"> 每月（季、年）提供在线运营设备的运营情况月度（季度、年度）报表；陈述各站点和在线连续自动监测系统的运行情况。</w:t>
            </w:r>
          </w:p>
          <w:p>
            <w:pPr>
              <w:widowControl/>
              <w:numPr>
                <w:ilvl w:val="0"/>
                <w:numId w:val="5"/>
              </w:numPr>
              <w:autoSpaceDE w:val="0"/>
              <w:spacing w:before="100" w:beforeAutospacing="1" w:after="100" w:afterAutospacing="1" w:line="360" w:lineRule="auto"/>
              <w:ind w:right="-58"/>
              <w:jc w:val="left"/>
              <w:rPr>
                <w:rFonts w:hint="eastAsia"/>
              </w:rPr>
            </w:pPr>
            <w:r>
              <w:rPr>
                <w:rFonts w:hint="eastAsia"/>
              </w:rPr>
              <w:t>及时汇报重大事故或仪器严重故障的情况。</w:t>
            </w:r>
          </w:p>
          <w:p>
            <w:pPr>
              <w:widowControl/>
              <w:numPr>
                <w:ilvl w:val="0"/>
                <w:numId w:val="5"/>
              </w:numPr>
              <w:autoSpaceDE w:val="0"/>
              <w:spacing w:before="100" w:beforeAutospacing="1" w:after="100" w:afterAutospacing="1" w:line="360" w:lineRule="auto"/>
              <w:ind w:right="-58"/>
              <w:jc w:val="left"/>
              <w:rPr>
                <w:rFonts w:hint="eastAsia"/>
              </w:rPr>
            </w:pPr>
            <w:r>
              <w:rPr>
                <w:rFonts w:hint="eastAsia"/>
              </w:rPr>
              <w:t>在运行中按规定对设备定期进行校准及校验。</w:t>
            </w:r>
          </w:p>
          <w:p>
            <w:pPr>
              <w:widowControl/>
              <w:numPr>
                <w:ilvl w:val="0"/>
                <w:numId w:val="5"/>
              </w:numPr>
              <w:autoSpaceDE w:val="0"/>
              <w:spacing w:before="100" w:beforeAutospacing="1" w:after="100" w:afterAutospacing="1" w:line="360" w:lineRule="auto"/>
              <w:ind w:right="-58"/>
              <w:jc w:val="left"/>
              <w:rPr>
                <w:rFonts w:hint="eastAsia" w:ascii="宋体" w:hAnsi="宋体" w:cs="宋体"/>
                <w:kern w:val="0"/>
                <w:sz w:val="22"/>
                <w:szCs w:val="22"/>
              </w:rPr>
            </w:pPr>
            <w:r>
              <w:rPr>
                <w:rFonts w:hint="eastAsia"/>
              </w:rPr>
              <w:t>保证甲方监测数据获取率达到90%以上。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trPr>
        <w:tc>
          <w:tcPr>
            <w:tcW w:w="543" w:type="dxa"/>
            <w:tcMar>
              <w:top w:w="0" w:type="dxa"/>
              <w:left w:w="108" w:type="dxa"/>
              <w:bottom w:w="0" w:type="dxa"/>
              <w:right w:w="108" w:type="dxa"/>
            </w:tcMar>
            <w:vAlign w:val="center"/>
          </w:tcPr>
          <w:p>
            <w:pPr>
              <w:widowControl/>
              <w:spacing w:before="100" w:beforeAutospacing="1" w:after="100" w:afterAutospacing="1" w:line="77" w:lineRule="atLeast"/>
              <w:ind w:right="-58"/>
              <w:jc w:val="center"/>
              <w:rPr>
                <w:rFonts w:hint="eastAsia" w:ascii="宋体" w:hAnsi="宋体" w:cs="宋体"/>
                <w:kern w:val="0"/>
                <w:sz w:val="22"/>
                <w:szCs w:val="22"/>
              </w:rPr>
            </w:pPr>
            <w:r>
              <w:rPr>
                <w:rFonts w:hint="eastAsia" w:ascii="宋体" w:hAnsi="宋体" w:cs="宋体"/>
                <w:kern w:val="0"/>
                <w:szCs w:val="21"/>
              </w:rPr>
              <w:t>2</w:t>
            </w:r>
          </w:p>
        </w:tc>
        <w:tc>
          <w:tcPr>
            <w:tcW w:w="746"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日常维护</w:t>
            </w:r>
          </w:p>
        </w:tc>
        <w:tc>
          <w:tcPr>
            <w:tcW w:w="7233" w:type="dxa"/>
            <w:tcMar>
              <w:top w:w="0" w:type="dxa"/>
              <w:left w:w="108" w:type="dxa"/>
              <w:bottom w:w="0" w:type="dxa"/>
              <w:right w:w="108" w:type="dxa"/>
            </w:tcMar>
            <w:vAlign w:val="center"/>
          </w:tcPr>
          <w:p>
            <w:pPr>
              <w:widowControl/>
              <w:spacing w:line="440" w:lineRule="exact"/>
              <w:ind w:right="-57"/>
              <w:jc w:val="left"/>
              <w:rPr>
                <w:rFonts w:hint="default" w:ascii="宋体" w:hAnsi="宋体" w:eastAsia="宋体" w:cs="宋体"/>
                <w:color w:val="000000"/>
                <w:kern w:val="0"/>
                <w:szCs w:val="21"/>
                <w:lang w:val="en-US" w:eastAsia="zh-CN"/>
              </w:rPr>
            </w:pPr>
            <w:r>
              <w:rPr>
                <w:rFonts w:hint="eastAsia" w:ascii="宋体" w:hAnsi="宋体" w:cs="宋体"/>
                <w:b/>
                <w:bCs/>
                <w:color w:val="000000"/>
                <w:kern w:val="0"/>
                <w:szCs w:val="21"/>
              </w:rPr>
              <w:t>1、每日远程监视：</w:t>
            </w:r>
            <w:r>
              <w:rPr>
                <w:rFonts w:ascii="宋体" w:hAnsi="宋体" w:eastAsia="宋体" w:cs="宋体"/>
                <w:spacing w:val="-3"/>
                <w:sz w:val="21"/>
                <w:szCs w:val="21"/>
              </w:rPr>
              <w:t>每</w:t>
            </w:r>
            <w:r>
              <w:rPr>
                <w:rFonts w:hint="eastAsia" w:ascii="宋体" w:hAnsi="宋体" w:cs="宋体"/>
                <w:spacing w:val="-3"/>
                <w:sz w:val="21"/>
                <w:szCs w:val="21"/>
                <w:lang w:val="en-US" w:eastAsia="zh-CN"/>
              </w:rPr>
              <w:t>日</w:t>
            </w:r>
            <w:r>
              <w:rPr>
                <w:rFonts w:ascii="宋体" w:hAnsi="宋体" w:eastAsia="宋体" w:cs="宋体"/>
                <w:spacing w:val="-3"/>
                <w:sz w:val="21"/>
                <w:szCs w:val="21"/>
              </w:rPr>
              <w:t>应通过</w:t>
            </w:r>
            <w:r>
              <w:rPr>
                <w:rFonts w:hint="eastAsia" w:ascii="宋体" w:hAnsi="宋体" w:cs="宋体"/>
                <w:spacing w:val="-3"/>
                <w:sz w:val="21"/>
                <w:szCs w:val="21"/>
                <w:lang w:val="en-US" w:eastAsia="zh-CN"/>
              </w:rPr>
              <w:t>平台</w:t>
            </w:r>
            <w:r>
              <w:rPr>
                <w:rFonts w:ascii="宋体" w:hAnsi="宋体" w:eastAsia="宋体" w:cs="宋体"/>
                <w:spacing w:val="-3"/>
                <w:sz w:val="21"/>
                <w:szCs w:val="21"/>
              </w:rPr>
              <w:t>查看数据或现场察看的方式检查仪器运行状态、数据传输系统是否正常，并判断水污染源在线监测系统运行是否正常。如发现数据有持续异常等</w:t>
            </w:r>
            <w:r>
              <w:rPr>
                <w:rFonts w:ascii="宋体" w:hAnsi="宋体" w:eastAsia="宋体" w:cs="宋体"/>
                <w:spacing w:val="-1"/>
                <w:sz w:val="21"/>
                <w:szCs w:val="21"/>
              </w:rPr>
              <w:t>情况，应前往站点检查</w:t>
            </w:r>
            <w:r>
              <w:rPr>
                <w:rFonts w:hint="eastAsia" w:ascii="宋体" w:hAnsi="宋体" w:cs="宋体"/>
                <w:spacing w:val="-1"/>
                <w:sz w:val="21"/>
                <w:szCs w:val="21"/>
                <w:lang w:eastAsia="zh-CN"/>
              </w:rPr>
              <w:t>，</w:t>
            </w:r>
            <w:r>
              <w:rPr>
                <w:rFonts w:hint="eastAsia" w:ascii="宋体" w:hAnsi="宋体" w:cs="宋体"/>
                <w:spacing w:val="-1"/>
                <w:sz w:val="21"/>
                <w:szCs w:val="21"/>
                <w:lang w:val="en-US" w:eastAsia="zh-CN"/>
              </w:rPr>
              <w:t>并做好记录。</w:t>
            </w:r>
          </w:p>
          <w:p>
            <w:pPr>
              <w:widowControl/>
              <w:spacing w:line="440" w:lineRule="exact"/>
              <w:ind w:right="-57"/>
              <w:jc w:val="left"/>
              <w:rPr>
                <w:rFonts w:hint="eastAsia" w:ascii="宋体" w:hAnsi="宋体" w:cs="宋体"/>
                <w:color w:val="000000"/>
                <w:kern w:val="0"/>
                <w:szCs w:val="21"/>
              </w:rPr>
            </w:pPr>
            <w:r>
              <w:rPr>
                <w:rFonts w:hint="eastAsia" w:ascii="宋体" w:hAnsi="宋体" w:cs="宋体"/>
                <w:b/>
                <w:bCs/>
                <w:color w:val="000000"/>
                <w:kern w:val="0"/>
                <w:szCs w:val="21"/>
              </w:rPr>
              <w:t>2、定期维护巡检：</w:t>
            </w:r>
            <w:r>
              <w:rPr>
                <w:rFonts w:hint="eastAsia" w:ascii="宋体" w:hAnsi="宋体" w:cs="宋体"/>
                <w:color w:val="000000"/>
                <w:kern w:val="0"/>
                <w:szCs w:val="21"/>
              </w:rPr>
              <w:t>日常巡检应至少每</w:t>
            </w:r>
            <w:r>
              <w:rPr>
                <w:rFonts w:hint="eastAsia" w:ascii="宋体" w:hAnsi="宋体" w:cs="宋体"/>
                <w:color w:val="000000"/>
                <w:kern w:val="0"/>
                <w:szCs w:val="21"/>
                <w:lang w:val="en-US" w:eastAsia="zh-CN"/>
              </w:rPr>
              <w:t>7天进行一次</w:t>
            </w:r>
            <w:r>
              <w:rPr>
                <w:rFonts w:hint="eastAsia" w:ascii="宋体" w:hAnsi="宋体" w:cs="宋体"/>
                <w:color w:val="000000"/>
                <w:kern w:val="0"/>
                <w:szCs w:val="21"/>
              </w:rPr>
              <w:t>，包括检查项目、被检项目运行状态等内容，每次</w:t>
            </w:r>
            <w:r>
              <w:rPr>
                <w:rFonts w:hint="eastAsia" w:ascii="宋体" w:hAnsi="宋体" w:cs="宋体"/>
                <w:color w:val="000000"/>
                <w:kern w:val="0"/>
                <w:szCs w:val="21"/>
                <w:lang w:val="en-US" w:eastAsia="zh-CN"/>
              </w:rPr>
              <w:t>检查</w:t>
            </w:r>
            <w:r>
              <w:rPr>
                <w:rFonts w:hint="eastAsia" w:ascii="宋体" w:hAnsi="宋体" w:cs="宋体"/>
                <w:color w:val="000000"/>
                <w:kern w:val="0"/>
                <w:szCs w:val="21"/>
              </w:rPr>
              <w:t>结果应有记录并归档。日常巡检规程应包含该系统运行状况、工作状况、系统辅助设备运行状况、各主要部件的运行状况、各分析仪的校准工作等必检项目和记录，以及仪器使用说明书中规定的其他检查项目和记录。每次巡检</w:t>
            </w:r>
            <w:r>
              <w:rPr>
                <w:rFonts w:hint="eastAsia" w:ascii="宋体" w:hAnsi="宋体" w:cs="宋体"/>
                <w:color w:val="000000"/>
                <w:kern w:val="0"/>
                <w:szCs w:val="21"/>
                <w:highlight w:val="none"/>
              </w:rPr>
              <w:t>必须填写设</w:t>
            </w:r>
            <w:r>
              <w:rPr>
                <w:rFonts w:hint="eastAsia" w:ascii="宋体" w:hAnsi="宋体" w:cs="宋体"/>
                <w:color w:val="000000"/>
                <w:kern w:val="0"/>
                <w:szCs w:val="21"/>
              </w:rPr>
              <w:t>备巡检记录。</w:t>
            </w:r>
          </w:p>
          <w:p>
            <w:pPr>
              <w:widowControl/>
              <w:spacing w:line="440" w:lineRule="exact"/>
              <w:ind w:right="-57"/>
              <w:jc w:val="left"/>
              <w:rPr>
                <w:rFonts w:hint="eastAsia" w:ascii="宋体" w:hAnsi="宋体" w:cs="宋体"/>
                <w:color w:val="000000"/>
                <w:kern w:val="0"/>
                <w:szCs w:val="21"/>
              </w:rPr>
            </w:pPr>
            <w:r>
              <w:rPr>
                <w:rFonts w:hint="eastAsia" w:ascii="宋体" w:hAnsi="宋体" w:cs="宋体"/>
                <w:b/>
                <w:bCs/>
                <w:color w:val="000000"/>
                <w:kern w:val="0"/>
                <w:szCs w:val="21"/>
              </w:rPr>
              <w:t>3、维护保养：</w:t>
            </w:r>
            <w:r>
              <w:rPr>
                <w:rFonts w:hint="eastAsia" w:ascii="宋体" w:hAnsi="宋体" w:cs="宋体"/>
                <w:color w:val="000000"/>
                <w:kern w:val="0"/>
                <w:szCs w:val="21"/>
              </w:rPr>
              <w:t>①每月对设备进行一次维护保养应检查耗材的污染损耗情况，各易损件的使用情况，管路通畅情况等，必要时进行清洗更换。每次保养情况应有记录并归档。每次进行备件或材料更换时应对更换的备件或材料的品名、规格、数量等进行记录并归档。每次维护保养必须填定设备保养记录；</w:t>
            </w:r>
          </w:p>
          <w:p>
            <w:pPr>
              <w:widowControl/>
              <w:spacing w:line="440" w:lineRule="exact"/>
              <w:ind w:right="-57"/>
              <w:jc w:val="left"/>
              <w:rPr>
                <w:rFonts w:hint="eastAsia" w:ascii="宋体" w:hAnsi="宋体" w:cs="宋体"/>
                <w:color w:val="000000"/>
                <w:kern w:val="0"/>
                <w:sz w:val="22"/>
                <w:szCs w:val="22"/>
              </w:rPr>
            </w:pPr>
            <w:r>
              <w:rPr>
                <w:rFonts w:hint="eastAsia" w:ascii="宋体" w:hAnsi="宋体" w:cs="宋体"/>
                <w:b/>
                <w:bCs/>
                <w:color w:val="000000"/>
                <w:kern w:val="0"/>
                <w:szCs w:val="21"/>
              </w:rPr>
              <w:t>4、其他预防性维护：</w:t>
            </w:r>
            <w:r>
              <w:rPr>
                <w:rFonts w:hint="eastAsia" w:ascii="宋体" w:hAnsi="宋体" w:cs="宋体"/>
                <w:color w:val="000000"/>
                <w:kern w:val="0"/>
                <w:szCs w:val="21"/>
              </w:rPr>
              <w:t>①保持监测</w:t>
            </w:r>
            <w:r>
              <w:rPr>
                <w:rFonts w:hint="eastAsia" w:ascii="宋体" w:hAnsi="宋体" w:cs="宋体"/>
                <w:color w:val="000000"/>
                <w:kern w:val="0"/>
                <w:szCs w:val="21"/>
                <w:lang w:val="en-US" w:eastAsia="zh-CN"/>
              </w:rPr>
              <w:t>站</w:t>
            </w:r>
            <w:r>
              <w:rPr>
                <w:rFonts w:hint="eastAsia" w:ascii="宋体" w:hAnsi="宋体" w:cs="宋体"/>
                <w:color w:val="000000"/>
                <w:kern w:val="0"/>
                <w:szCs w:val="21"/>
              </w:rPr>
              <w:t>房的清洁，保持设备的清洁、避免仪器震动，保证监测用房内的温度、湿度满足仪器正常运行的需求；②保持各仪器管路畅通，出水正常，无漏液；③对电源控制器、空调等辅助设备要进行经常性检查；④操作人员在对系统进行日常维护时，作好相关记录；⑤此处未提及的维护内容，参照相关仪器说明书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543" w:type="dxa"/>
            <w:tcMar>
              <w:top w:w="0" w:type="dxa"/>
              <w:left w:w="108" w:type="dxa"/>
              <w:bottom w:w="0" w:type="dxa"/>
              <w:right w:w="108" w:type="dxa"/>
            </w:tcMar>
            <w:vAlign w:val="center"/>
          </w:tcPr>
          <w:p>
            <w:pPr>
              <w:widowControl/>
              <w:spacing w:before="100" w:beforeAutospacing="1" w:after="100" w:afterAutospacing="1" w:line="77" w:lineRule="atLeast"/>
              <w:ind w:right="-58"/>
              <w:jc w:val="center"/>
              <w:rPr>
                <w:rFonts w:hint="eastAsia" w:ascii="宋体" w:hAnsi="宋体" w:cs="宋体"/>
                <w:kern w:val="0"/>
                <w:sz w:val="22"/>
                <w:szCs w:val="22"/>
              </w:rPr>
            </w:pPr>
            <w:r>
              <w:rPr>
                <w:rFonts w:hint="eastAsia" w:ascii="宋体" w:hAnsi="宋体" w:cs="宋体"/>
                <w:kern w:val="0"/>
                <w:szCs w:val="21"/>
              </w:rPr>
              <w:t>3</w:t>
            </w:r>
          </w:p>
        </w:tc>
        <w:tc>
          <w:tcPr>
            <w:tcW w:w="746"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系统检修</w:t>
            </w:r>
          </w:p>
        </w:tc>
        <w:tc>
          <w:tcPr>
            <w:tcW w:w="7233" w:type="dxa"/>
            <w:tcMar>
              <w:top w:w="0" w:type="dxa"/>
              <w:left w:w="108" w:type="dxa"/>
              <w:bottom w:w="0" w:type="dxa"/>
              <w:right w:w="108" w:type="dxa"/>
            </w:tcMar>
            <w:vAlign w:val="center"/>
          </w:tcPr>
          <w:p>
            <w:pPr>
              <w:widowControl/>
              <w:spacing w:line="440" w:lineRule="exact"/>
              <w:ind w:right="-57"/>
              <w:jc w:val="left"/>
              <w:rPr>
                <w:rFonts w:hint="eastAsia" w:ascii="宋体" w:hAnsi="宋体" w:cs="宋体"/>
                <w:kern w:val="0"/>
                <w:szCs w:val="21"/>
              </w:rPr>
            </w:pPr>
            <w:r>
              <w:rPr>
                <w:rFonts w:hint="eastAsia" w:ascii="宋体" w:hAnsi="宋体" w:cs="宋体"/>
                <w:b/>
                <w:bCs/>
                <w:color w:val="000000"/>
                <w:szCs w:val="21"/>
              </w:rPr>
              <w:t>1、设备维修：</w:t>
            </w:r>
            <w:r>
              <w:rPr>
                <w:rFonts w:hint="eastAsia" w:ascii="宋体" w:hAnsi="宋体" w:cs="宋体"/>
                <w:color w:val="000000"/>
                <w:szCs w:val="21"/>
              </w:rPr>
              <w:t>①</w:t>
            </w:r>
            <w:r>
              <w:rPr>
                <w:rFonts w:hint="eastAsia" w:ascii="宋体" w:hAnsi="宋体" w:cs="宋体"/>
                <w:color w:val="000000"/>
                <w:kern w:val="0"/>
                <w:szCs w:val="21"/>
              </w:rPr>
              <w:t>发现运行出现问题或接到运行问题通知，运行维护人员需在</w:t>
            </w:r>
            <w:r>
              <w:rPr>
                <w:rFonts w:hint="eastAsia" w:ascii="宋体" w:hAnsi="宋体" w:cs="宋体"/>
                <w:color w:val="000000"/>
                <w:kern w:val="0"/>
                <w:szCs w:val="21"/>
                <w:lang w:val="en-US" w:eastAsia="zh-CN"/>
              </w:rPr>
              <w:t>4</w:t>
            </w:r>
            <w:r>
              <w:rPr>
                <w:rFonts w:hint="eastAsia" w:ascii="宋体" w:hAnsi="宋体" w:cs="宋体"/>
                <w:color w:val="000000"/>
                <w:kern w:val="0"/>
                <w:szCs w:val="21"/>
              </w:rPr>
              <w:t>小时内到现场，检查设备问题，判定问题原因并进行相应处理；②</w:t>
            </w:r>
            <w:r>
              <w:rPr>
                <w:rFonts w:hint="eastAsia" w:ascii="宋体" w:hAnsi="宋体" w:cs="宋体"/>
                <w:color w:val="000000"/>
                <w:kern w:val="0"/>
                <w:szCs w:val="21"/>
                <w:lang w:val="en-US" w:eastAsia="zh-CN"/>
              </w:rPr>
              <w:t>进水口</w:t>
            </w:r>
            <w:r>
              <w:rPr>
                <w:rFonts w:hint="eastAsia" w:ascii="宋体" w:hAnsi="宋体" w:cs="宋体"/>
                <w:color w:val="000000"/>
                <w:kern w:val="0"/>
                <w:szCs w:val="21"/>
              </w:rPr>
              <w:t>自动监测仪器因设备原因造成中断，停机时间不得超过24小时，并上报环保部门；③对于一些容易诊断的故障应在4小时内解决，对不易诊断和维修的仪器故障，应在</w:t>
            </w:r>
            <w:r>
              <w:rPr>
                <w:rFonts w:hint="eastAsia" w:ascii="宋体" w:hAnsi="宋体" w:cs="宋体"/>
                <w:color w:val="000000"/>
                <w:kern w:val="0"/>
                <w:szCs w:val="21"/>
                <w:lang w:val="en-US" w:eastAsia="zh-CN"/>
              </w:rPr>
              <w:t>48</w:t>
            </w:r>
            <w:r>
              <w:rPr>
                <w:rFonts w:hint="eastAsia" w:ascii="宋体" w:hAnsi="宋体" w:cs="宋体"/>
                <w:color w:val="000000"/>
                <w:kern w:val="0"/>
                <w:szCs w:val="21"/>
              </w:rPr>
              <w:t>小时内完成维修，如维修不能按期完成，则用备用的仪器部件替换，修好后，再替换下来；④若监测仪器进行了维修或更换，在正常使用和运营之前必须对仪器进行一次</w:t>
            </w:r>
            <w:r>
              <w:rPr>
                <w:rFonts w:hint="eastAsia" w:ascii="宋体" w:hAnsi="宋体" w:cs="宋体"/>
                <w:color w:val="000000"/>
                <w:kern w:val="0"/>
                <w:szCs w:val="21"/>
                <w:lang w:val="en-US" w:eastAsia="zh-CN"/>
              </w:rPr>
              <w:t>比对</w:t>
            </w:r>
            <w:r>
              <w:rPr>
                <w:rFonts w:hint="eastAsia" w:ascii="宋体" w:hAnsi="宋体" w:cs="宋体"/>
                <w:color w:val="000000"/>
                <w:kern w:val="0"/>
                <w:szCs w:val="21"/>
              </w:rPr>
              <w:t>监测和校验；⑤设备维修后,需检测和校验合格后方可投入运行；⑥设备维修后，应填写设备维修记录，仪器校验记录。</w:t>
            </w:r>
          </w:p>
          <w:p>
            <w:pPr>
              <w:widowControl/>
              <w:spacing w:line="440" w:lineRule="exact"/>
              <w:ind w:right="-57"/>
              <w:jc w:val="left"/>
              <w:rPr>
                <w:rFonts w:hint="eastAsia" w:ascii="宋体" w:hAnsi="宋体" w:cs="宋体"/>
                <w:kern w:val="0"/>
                <w:sz w:val="22"/>
                <w:szCs w:val="22"/>
              </w:rPr>
            </w:pPr>
            <w:r>
              <w:rPr>
                <w:rFonts w:hint="eastAsia" w:ascii="宋体" w:hAnsi="宋体" w:cs="宋体"/>
                <w:b/>
                <w:bCs/>
                <w:color w:val="000000"/>
                <w:kern w:val="0"/>
                <w:szCs w:val="21"/>
              </w:rPr>
              <w:t>2、重要部件设备更换</w:t>
            </w:r>
            <w:r>
              <w:rPr>
                <w:rFonts w:hint="eastAsia" w:ascii="宋体" w:hAnsi="宋体" w:cs="宋体"/>
                <w:b/>
                <w:bCs/>
                <w:kern w:val="0"/>
                <w:szCs w:val="21"/>
              </w:rPr>
              <w:t>：</w:t>
            </w:r>
            <w:r>
              <w:rPr>
                <w:rFonts w:hint="eastAsia" w:ascii="宋体" w:hAnsi="宋体" w:cs="宋体"/>
                <w:kern w:val="0"/>
                <w:szCs w:val="21"/>
              </w:rPr>
              <w:t>①</w:t>
            </w:r>
            <w:r>
              <w:rPr>
                <w:rFonts w:hint="eastAsia" w:ascii="宋体" w:hAnsi="宋体" w:cs="宋体"/>
                <w:color w:val="000000"/>
                <w:kern w:val="0"/>
                <w:szCs w:val="21"/>
              </w:rPr>
              <w:t>设备长期使用（已超过设计使用年限），性能严重下降，经常接触不良或多次故障难以修复的可以更新；</w:t>
            </w:r>
            <w:r>
              <w:rPr>
                <w:rFonts w:hint="eastAsia" w:ascii="宋体" w:hAnsi="宋体" w:cs="宋体"/>
                <w:kern w:val="0"/>
                <w:szCs w:val="21"/>
              </w:rPr>
              <w:t>②</w:t>
            </w:r>
            <w:r>
              <w:rPr>
                <w:rFonts w:hint="eastAsia" w:ascii="宋体" w:hAnsi="宋体" w:cs="宋体"/>
                <w:color w:val="000000"/>
                <w:kern w:val="0"/>
                <w:szCs w:val="21"/>
              </w:rPr>
              <w:t>设备的某些重要性能下降，多次调整修复仍不能达到指标的，可以更新；</w:t>
            </w:r>
            <w:r>
              <w:rPr>
                <w:rFonts w:hint="eastAsia" w:ascii="宋体" w:hAnsi="宋体" w:cs="宋体"/>
                <w:kern w:val="0"/>
                <w:szCs w:val="21"/>
              </w:rPr>
              <w:t>③</w:t>
            </w:r>
            <w:r>
              <w:rPr>
                <w:rFonts w:hint="eastAsia" w:ascii="宋体" w:hAnsi="宋体" w:cs="宋体"/>
                <w:color w:val="000000"/>
                <w:kern w:val="0"/>
                <w:szCs w:val="21"/>
              </w:rPr>
              <w:t>设备陈旧，可由其他技术先进的设备代替的，可以更新；</w:t>
            </w:r>
            <w:r>
              <w:rPr>
                <w:rFonts w:hint="eastAsia" w:ascii="宋体" w:hAnsi="宋体" w:cs="宋体"/>
                <w:kern w:val="0"/>
                <w:szCs w:val="21"/>
              </w:rPr>
              <w:t>④</w:t>
            </w:r>
            <w:r>
              <w:rPr>
                <w:rFonts w:hint="eastAsia" w:ascii="宋体" w:hAnsi="宋体" w:cs="宋体"/>
                <w:color w:val="000000"/>
                <w:kern w:val="0"/>
                <w:szCs w:val="21"/>
              </w:rPr>
              <w:t>设备更新前，应对设备现状进行详细调查，提出更新的理由，编制计划报上级审批；⑤设备更新后，应组织有关人员进行验收，并有详细的测试记录，各种资料归档保管。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1" w:hRule="atLeast"/>
        </w:trPr>
        <w:tc>
          <w:tcPr>
            <w:tcW w:w="543"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eastAsia="宋体" w:cs="宋体"/>
                <w:kern w:val="0"/>
                <w:sz w:val="22"/>
                <w:szCs w:val="22"/>
                <w:lang w:eastAsia="zh-CN"/>
              </w:rPr>
            </w:pPr>
            <w:r>
              <w:rPr>
                <w:rFonts w:hint="eastAsia" w:ascii="宋体" w:hAnsi="宋体" w:cs="宋体"/>
                <w:kern w:val="0"/>
                <w:szCs w:val="21"/>
                <w:lang w:val="en-US" w:eastAsia="zh-CN"/>
              </w:rPr>
              <w:t>4</w:t>
            </w:r>
          </w:p>
        </w:tc>
        <w:tc>
          <w:tcPr>
            <w:tcW w:w="746"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技术文档</w:t>
            </w:r>
          </w:p>
        </w:tc>
        <w:tc>
          <w:tcPr>
            <w:tcW w:w="7233" w:type="dxa"/>
            <w:tcMar>
              <w:top w:w="0" w:type="dxa"/>
              <w:left w:w="108" w:type="dxa"/>
              <w:bottom w:w="0" w:type="dxa"/>
              <w:right w:w="108" w:type="dxa"/>
            </w:tcMar>
            <w:vAlign w:val="center"/>
          </w:tcPr>
          <w:p>
            <w:pPr>
              <w:widowControl/>
              <w:numPr>
                <w:ilvl w:val="0"/>
                <w:numId w:val="6"/>
              </w:numPr>
              <w:spacing w:line="440" w:lineRule="exact"/>
              <w:ind w:right="-57"/>
              <w:jc w:val="left"/>
              <w:rPr>
                <w:rFonts w:hint="eastAsia" w:ascii="宋体" w:hAnsi="宋体" w:cs="宋体"/>
                <w:color w:val="000000"/>
                <w:kern w:val="0"/>
                <w:szCs w:val="21"/>
              </w:rPr>
            </w:pPr>
            <w:r>
              <w:rPr>
                <w:rFonts w:hint="eastAsia" w:ascii="宋体" w:hAnsi="宋体" w:cs="宋体"/>
                <w:color w:val="000000"/>
                <w:kern w:val="0"/>
                <w:szCs w:val="21"/>
              </w:rPr>
              <w:t>提出相关设备维护的合理化建议，并在认可后负责实施。</w:t>
            </w:r>
          </w:p>
          <w:p>
            <w:pPr>
              <w:widowControl/>
              <w:numPr>
                <w:ilvl w:val="0"/>
                <w:numId w:val="6"/>
              </w:numPr>
              <w:spacing w:line="440" w:lineRule="exact"/>
              <w:ind w:right="-57"/>
              <w:jc w:val="left"/>
              <w:rPr>
                <w:rFonts w:hint="eastAsia" w:ascii="宋体" w:hAnsi="宋体" w:cs="宋体"/>
                <w:kern w:val="0"/>
                <w:szCs w:val="21"/>
              </w:rPr>
            </w:pPr>
            <w:r>
              <w:rPr>
                <w:rFonts w:hint="eastAsia" w:ascii="宋体" w:hAnsi="宋体" w:cs="宋体"/>
                <w:color w:val="000000"/>
                <w:kern w:val="0"/>
                <w:szCs w:val="21"/>
              </w:rPr>
              <w:t>实时收集设备的故障</w:t>
            </w:r>
            <w:r>
              <w:rPr>
                <w:rFonts w:hint="eastAsia" w:ascii="宋体" w:hAnsi="宋体" w:cs="宋体"/>
                <w:color w:val="000000"/>
                <w:kern w:val="0"/>
                <w:szCs w:val="21"/>
                <w:lang w:val="en-US" w:eastAsia="zh-CN"/>
              </w:rPr>
              <w:t>报</w:t>
            </w:r>
            <w:r>
              <w:rPr>
                <w:rFonts w:hint="eastAsia" w:ascii="宋体" w:hAnsi="宋体" w:cs="宋体"/>
                <w:color w:val="000000"/>
                <w:kern w:val="0"/>
                <w:szCs w:val="21"/>
              </w:rPr>
              <w:t>警信息，并上报相关的系统分析员。</w:t>
            </w:r>
          </w:p>
          <w:p>
            <w:pPr>
              <w:widowControl/>
              <w:numPr>
                <w:ilvl w:val="0"/>
                <w:numId w:val="6"/>
              </w:numPr>
              <w:spacing w:line="440" w:lineRule="exact"/>
              <w:ind w:right="-57"/>
              <w:jc w:val="left"/>
              <w:rPr>
                <w:rFonts w:hint="eastAsia" w:ascii="宋体" w:hAnsi="宋体" w:cs="宋体"/>
                <w:kern w:val="0"/>
                <w:szCs w:val="21"/>
              </w:rPr>
            </w:pPr>
            <w:r>
              <w:rPr>
                <w:rFonts w:hint="eastAsia" w:ascii="宋体" w:hAnsi="宋体" w:cs="宋体"/>
                <w:color w:val="000000"/>
                <w:kern w:val="0"/>
                <w:szCs w:val="21"/>
              </w:rPr>
              <w:t>配合协助系统分析员，对所有收集的故障</w:t>
            </w:r>
            <w:r>
              <w:rPr>
                <w:rFonts w:hint="eastAsia" w:ascii="宋体" w:hAnsi="宋体" w:cs="宋体"/>
                <w:color w:val="000000"/>
                <w:kern w:val="0"/>
                <w:szCs w:val="21"/>
                <w:lang w:val="en-US" w:eastAsia="zh-CN"/>
              </w:rPr>
              <w:t>报</w:t>
            </w:r>
            <w:r>
              <w:rPr>
                <w:rFonts w:hint="eastAsia" w:ascii="宋体" w:hAnsi="宋体" w:cs="宋体"/>
                <w:color w:val="000000"/>
                <w:kern w:val="0"/>
                <w:szCs w:val="21"/>
              </w:rPr>
              <w:t>警信息进行故障关联、故障定位分析，协助制定故障处理方案。</w:t>
            </w:r>
          </w:p>
          <w:p>
            <w:pPr>
              <w:widowControl/>
              <w:numPr>
                <w:ilvl w:val="0"/>
                <w:numId w:val="6"/>
              </w:numPr>
              <w:spacing w:line="440" w:lineRule="exact"/>
              <w:ind w:right="-57"/>
              <w:jc w:val="left"/>
              <w:rPr>
                <w:rFonts w:hint="eastAsia" w:ascii="宋体" w:hAnsi="宋体" w:cs="宋体"/>
                <w:kern w:val="0"/>
                <w:szCs w:val="21"/>
              </w:rPr>
            </w:pPr>
            <w:r>
              <w:rPr>
                <w:rFonts w:hint="eastAsia" w:ascii="宋体" w:hAnsi="宋体" w:cs="宋体"/>
                <w:color w:val="000000"/>
                <w:kern w:val="0"/>
                <w:szCs w:val="21"/>
              </w:rPr>
              <w:t>在故障处理方案指导下进行所辖设备的故障处理与恢复操作，包括故障备份方案的配置操作（与设备配置管理配合）。</w:t>
            </w:r>
          </w:p>
          <w:p>
            <w:pPr>
              <w:widowControl/>
              <w:numPr>
                <w:ilvl w:val="0"/>
                <w:numId w:val="6"/>
              </w:numPr>
              <w:spacing w:line="440" w:lineRule="exact"/>
              <w:ind w:right="-57"/>
              <w:jc w:val="left"/>
              <w:rPr>
                <w:rFonts w:hint="eastAsia" w:ascii="宋体" w:hAnsi="宋体" w:cs="宋体"/>
                <w:kern w:val="0"/>
                <w:sz w:val="22"/>
                <w:szCs w:val="22"/>
              </w:rPr>
            </w:pPr>
            <w:r>
              <w:rPr>
                <w:rFonts w:hint="eastAsia" w:ascii="宋体" w:hAnsi="宋体" w:cs="宋体"/>
                <w:color w:val="000000"/>
                <w:kern w:val="0"/>
                <w:szCs w:val="21"/>
              </w:rPr>
              <w:t>故障处理完毕后，对所有故障处理过程备案，并将相关的故障处理结果反馈给故障申报部门或人员。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543"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eastAsia="宋体" w:cs="宋体"/>
                <w:kern w:val="0"/>
                <w:sz w:val="22"/>
                <w:szCs w:val="22"/>
                <w:lang w:eastAsia="zh-CN"/>
              </w:rPr>
            </w:pPr>
            <w:r>
              <w:rPr>
                <w:rFonts w:hint="eastAsia" w:ascii="宋体" w:hAnsi="宋体" w:cs="宋体"/>
                <w:kern w:val="0"/>
                <w:szCs w:val="21"/>
                <w:lang w:val="en-US" w:eastAsia="zh-CN"/>
              </w:rPr>
              <w:t>5</w:t>
            </w:r>
          </w:p>
        </w:tc>
        <w:tc>
          <w:tcPr>
            <w:tcW w:w="746" w:type="dxa"/>
            <w:tcMar>
              <w:top w:w="0" w:type="dxa"/>
              <w:left w:w="108" w:type="dxa"/>
              <w:bottom w:w="0" w:type="dxa"/>
              <w:right w:w="108" w:type="dxa"/>
            </w:tcMar>
            <w:vAlign w:val="center"/>
          </w:tcPr>
          <w:p>
            <w:pPr>
              <w:widowControl/>
              <w:spacing w:before="100" w:beforeAutospacing="1" w:after="100" w:afterAutospacing="1" w:line="360" w:lineRule="auto"/>
              <w:ind w:right="-58"/>
              <w:jc w:val="center"/>
              <w:rPr>
                <w:rFonts w:hint="eastAsia" w:ascii="宋体" w:hAnsi="宋体" w:cs="宋体"/>
                <w:kern w:val="0"/>
                <w:sz w:val="22"/>
                <w:szCs w:val="22"/>
              </w:rPr>
            </w:pPr>
            <w:r>
              <w:rPr>
                <w:rFonts w:hint="eastAsia" w:ascii="宋体" w:hAnsi="宋体" w:cs="宋体"/>
                <w:kern w:val="0"/>
                <w:szCs w:val="21"/>
              </w:rPr>
              <w:t>报表文件</w:t>
            </w:r>
          </w:p>
        </w:tc>
        <w:tc>
          <w:tcPr>
            <w:tcW w:w="7233" w:type="dxa"/>
            <w:tcMar>
              <w:top w:w="0" w:type="dxa"/>
              <w:left w:w="108" w:type="dxa"/>
              <w:bottom w:w="0" w:type="dxa"/>
              <w:right w:w="108" w:type="dxa"/>
            </w:tcMar>
            <w:vAlign w:val="center"/>
          </w:tcPr>
          <w:p>
            <w:pPr>
              <w:widowControl/>
              <w:numPr>
                <w:ilvl w:val="0"/>
                <w:numId w:val="7"/>
              </w:numPr>
              <w:spacing w:line="440" w:lineRule="exact"/>
              <w:ind w:right="-57"/>
              <w:jc w:val="left"/>
              <w:rPr>
                <w:rFonts w:hint="eastAsia" w:ascii="宋体" w:hAnsi="宋体" w:cs="宋体"/>
                <w:color w:val="000000"/>
                <w:kern w:val="0"/>
                <w:sz w:val="22"/>
                <w:szCs w:val="22"/>
              </w:rPr>
            </w:pPr>
            <w:r>
              <w:rPr>
                <w:rFonts w:hint="eastAsia" w:ascii="宋体" w:hAnsi="宋体" w:cs="宋体"/>
                <w:color w:val="000000"/>
                <w:kern w:val="0"/>
                <w:szCs w:val="21"/>
              </w:rPr>
              <w:t xml:space="preserve">设备校准、零点和量程漂移、重复性、实际样品比对、质控样试验的例行记录；    </w:t>
            </w:r>
          </w:p>
          <w:p>
            <w:pPr>
              <w:widowControl/>
              <w:numPr>
                <w:ilvl w:val="0"/>
                <w:numId w:val="7"/>
              </w:numPr>
              <w:spacing w:line="440" w:lineRule="exact"/>
              <w:ind w:right="-57"/>
              <w:jc w:val="left"/>
              <w:rPr>
                <w:rFonts w:hint="eastAsia" w:ascii="宋体" w:hAnsi="宋体" w:cs="宋体"/>
                <w:color w:val="000000"/>
                <w:kern w:val="0"/>
                <w:sz w:val="22"/>
                <w:szCs w:val="22"/>
              </w:rPr>
            </w:pPr>
            <w:r>
              <w:rPr>
                <w:rFonts w:hint="eastAsia" w:ascii="宋体" w:hAnsi="宋体" w:cs="宋体"/>
                <w:color w:val="000000"/>
                <w:kern w:val="0"/>
                <w:szCs w:val="21"/>
              </w:rPr>
              <w:t xml:space="preserve">设备运行报告、定期巡检、维护保养记录；                                     </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、设备维护、易耗品的定期更换记录；                                         </w:t>
            </w:r>
            <w:r>
              <w:rPr>
                <w:rFonts w:hint="eastAsia" w:ascii="宋体" w:hAnsi="宋体" w:cs="宋体"/>
                <w:color w:val="000000"/>
                <w:kern w:val="0"/>
                <w:szCs w:val="21"/>
                <w:lang w:val="en-US" w:eastAsia="zh-CN"/>
              </w:rPr>
              <w:t>4</w:t>
            </w:r>
            <w:r>
              <w:rPr>
                <w:rFonts w:hint="eastAsia" w:ascii="宋体" w:hAnsi="宋体" w:cs="宋体"/>
                <w:color w:val="000000"/>
                <w:kern w:val="0"/>
                <w:szCs w:val="21"/>
              </w:rPr>
              <w:t xml:space="preserve">、检测机构的检定或检验记录；                                             </w:t>
            </w:r>
            <w:r>
              <w:rPr>
                <w:rFonts w:hint="eastAsia" w:ascii="宋体" w:hAnsi="宋体" w:cs="宋体"/>
                <w:color w:val="000000"/>
                <w:kern w:val="0"/>
                <w:szCs w:val="21"/>
                <w:lang w:val="en-US" w:eastAsia="zh-CN"/>
              </w:rPr>
              <w:t>5</w:t>
            </w:r>
            <w:r>
              <w:rPr>
                <w:rFonts w:hint="eastAsia" w:ascii="宋体" w:hAnsi="宋体" w:cs="宋体"/>
                <w:color w:val="000000"/>
                <w:kern w:val="0"/>
                <w:szCs w:val="21"/>
              </w:rPr>
              <w:t>、废液的</w:t>
            </w:r>
            <w:r>
              <w:rPr>
                <w:rFonts w:hint="eastAsia" w:ascii="宋体" w:hAnsi="宋体" w:cs="宋体"/>
                <w:color w:val="000000"/>
                <w:kern w:val="0"/>
                <w:szCs w:val="21"/>
                <w:lang w:val="en-US" w:eastAsia="zh-CN"/>
              </w:rPr>
              <w:t>交接</w:t>
            </w:r>
            <w:r>
              <w:rPr>
                <w:rFonts w:hint="eastAsia" w:ascii="宋体" w:hAnsi="宋体" w:cs="宋体"/>
                <w:color w:val="000000"/>
                <w:kern w:val="0"/>
                <w:szCs w:val="21"/>
              </w:rPr>
              <w:t>记录。</w:t>
            </w:r>
          </w:p>
        </w:tc>
      </w:tr>
    </w:tbl>
    <w:p/>
    <w:p>
      <w:pPr>
        <w:spacing w:before="0"/>
        <w:ind w:right="205" w:firstLine="3648" w:firstLineChars="1200"/>
        <w:jc w:val="both"/>
        <w:rPr>
          <w:w w:val="95"/>
          <w:sz w:val="32"/>
        </w:rPr>
      </w:pPr>
      <w:r>
        <w:rPr>
          <w:w w:val="95"/>
          <w:sz w:val="32"/>
        </w:rPr>
        <w:t>湖北华丹医药科技股份有限公司总经办</w:t>
      </w:r>
    </w:p>
    <w:p>
      <w:pPr>
        <w:spacing w:before="0"/>
        <w:ind w:left="0" w:right="205" w:firstLine="5472" w:firstLineChars="1800"/>
        <w:jc w:val="both"/>
        <w:rPr>
          <w:rFonts w:hint="default"/>
          <w:lang w:val="en-US" w:eastAsia="zh-CN"/>
        </w:rPr>
      </w:pPr>
      <w:r>
        <w:rPr>
          <w:rFonts w:hint="eastAsia"/>
          <w:w w:val="95"/>
          <w:sz w:val="32"/>
          <w:lang w:val="en-US" w:eastAsia="zh-CN"/>
        </w:rPr>
        <w:t>2024年04月08日</w:t>
      </w:r>
    </w:p>
    <w:sectPr>
      <w:footerReference r:id="rId6" w:type="default"/>
      <w:pgSz w:w="11910" w:h="16840"/>
      <w:pgMar w:top="680" w:right="860" w:bottom="838" w:left="150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7C09"/>
    <w:multiLevelType w:val="singleLevel"/>
    <w:tmpl w:val="ACE97C09"/>
    <w:lvl w:ilvl="0" w:tentative="0">
      <w:start w:val="1"/>
      <w:numFmt w:val="decimal"/>
      <w:suff w:val="nothing"/>
      <w:lvlText w:val="%1、"/>
      <w:lvlJc w:val="left"/>
    </w:lvl>
  </w:abstractNum>
  <w:abstractNum w:abstractNumId="1">
    <w:nsid w:val="BF0C5361"/>
    <w:multiLevelType w:val="singleLevel"/>
    <w:tmpl w:val="BF0C5361"/>
    <w:lvl w:ilvl="0" w:tentative="0">
      <w:start w:val="1"/>
      <w:numFmt w:val="decimal"/>
      <w:suff w:val="nothing"/>
      <w:lvlText w:val="%1、"/>
      <w:lvlJc w:val="left"/>
    </w:lvl>
  </w:abstractNum>
  <w:abstractNum w:abstractNumId="2">
    <w:nsid w:val="CF092B84"/>
    <w:multiLevelType w:val="multilevel"/>
    <w:tmpl w:val="CF092B84"/>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4">
    <w:nsid w:val="1B4064AE"/>
    <w:multiLevelType w:val="singleLevel"/>
    <w:tmpl w:val="1B4064AE"/>
    <w:lvl w:ilvl="0" w:tentative="0">
      <w:start w:val="3"/>
      <w:numFmt w:val="chineseCounting"/>
      <w:lvlText w:val="第%1章"/>
      <w:lvlJc w:val="left"/>
      <w:rPr>
        <w:rFonts w:hint="eastAsia"/>
      </w:rPr>
    </w:lvl>
  </w:abstractNum>
  <w:abstractNum w:abstractNumId="5">
    <w:nsid w:val="46B1A21B"/>
    <w:multiLevelType w:val="singleLevel"/>
    <w:tmpl w:val="46B1A21B"/>
    <w:lvl w:ilvl="0" w:tentative="0">
      <w:start w:val="1"/>
      <w:numFmt w:val="decimal"/>
      <w:suff w:val="nothing"/>
      <w:lvlText w:val="%1、"/>
      <w:lvlJc w:val="left"/>
    </w:lvl>
  </w:abstractNum>
  <w:abstractNum w:abstractNumId="6">
    <w:nsid w:val="59ADCABA"/>
    <w:multiLevelType w:val="multilevel"/>
    <w:tmpl w:val="59ADCABA"/>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YzZmU2ZGY0N2UwYjU4MDNiOTcwZDI2MGEzZDcifQ=="/>
  </w:docVars>
  <w:rsids>
    <w:rsidRoot w:val="00000000"/>
    <w:rsid w:val="010C7C42"/>
    <w:rsid w:val="07CC1027"/>
    <w:rsid w:val="084A0E90"/>
    <w:rsid w:val="13E16FD6"/>
    <w:rsid w:val="3B657F4C"/>
    <w:rsid w:val="3CF95E96"/>
    <w:rsid w:val="3DBA6437"/>
    <w:rsid w:val="43DE1600"/>
    <w:rsid w:val="48E55206"/>
    <w:rsid w:val="4DEB55AE"/>
    <w:rsid w:val="650D3CB3"/>
    <w:rsid w:val="6DC83AAA"/>
    <w:rsid w:val="751612FC"/>
    <w:rsid w:val="77CC4466"/>
    <w:rsid w:val="7A4E6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autoRedefine/>
    <w:qFormat/>
    <w:uiPriority w:val="1"/>
    <w:pPr>
      <w:spacing w:before="214"/>
      <w:ind w:left="619"/>
      <w:outlineLvl w:val="0"/>
    </w:pPr>
    <w:rPr>
      <w:rFonts w:ascii="宋体" w:hAnsi="宋体" w:eastAsia="宋体" w:cs="宋体"/>
      <w:b/>
      <w:bCs/>
      <w:sz w:val="32"/>
      <w:szCs w:val="32"/>
      <w:lang w:val="zh-CN" w:eastAsia="zh-CN" w:bidi="zh-CN"/>
    </w:rPr>
  </w:style>
  <w:style w:type="paragraph" w:styleId="5">
    <w:name w:val="heading 2"/>
    <w:basedOn w:val="1"/>
    <w:next w:val="1"/>
    <w:qFormat/>
    <w:uiPriority w:val="1"/>
    <w:pPr>
      <w:outlineLvl w:val="1"/>
    </w:pPr>
    <w:rPr>
      <w:rFonts w:ascii="宋体" w:hAnsi="宋体" w:eastAsia="宋体" w:cs="宋体"/>
      <w:sz w:val="32"/>
      <w:szCs w:val="32"/>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customStyle="1" w:styleId="3">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72"/>
      <w:ind w:left="1980" w:hanging="780"/>
    </w:pPr>
    <w:rPr>
      <w:rFonts w:ascii="宋体" w:hAnsi="宋体" w:eastAsia="宋体" w:cs="宋体"/>
      <w:lang w:val="zh-CN" w:eastAsia="zh-CN" w:bidi="zh-CN"/>
    </w:rPr>
  </w:style>
  <w:style w:type="paragraph" w:customStyle="1" w:styleId="12">
    <w:name w:val="Table Paragraph"/>
    <w:basedOn w:val="1"/>
    <w:qFormat/>
    <w:uiPriority w:val="1"/>
    <w:pPr>
      <w:ind w:left="115"/>
    </w:pPr>
    <w:rPr>
      <w:rFonts w:ascii="宋体" w:hAnsi="宋体" w:eastAsia="宋体" w:cs="宋体"/>
      <w:lang w:val="zh-CN" w:eastAsia="zh-CN" w:bidi="zh-CN"/>
    </w:rPr>
  </w:style>
  <w:style w:type="paragraph" w:customStyle="1" w:styleId="13">
    <w:name w:val="Body text|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 w:type="paragraph" w:customStyle="1" w:styleId="14">
    <w:name w:val="Heading #3|1"/>
    <w:basedOn w:val="1"/>
    <w:qFormat/>
    <w:uiPriority w:val="0"/>
    <w:pPr>
      <w:widowControl w:val="0"/>
      <w:shd w:val="clear" w:color="auto" w:fill="auto"/>
      <w:ind w:right="710"/>
      <w:jc w:val="center"/>
      <w:outlineLvl w:val="2"/>
    </w:pPr>
    <w:rPr>
      <w:rFonts w:ascii="宋体" w:hAnsi="宋体" w:eastAsia="宋体" w:cs="宋体"/>
      <w:sz w:val="26"/>
      <w:szCs w:val="26"/>
      <w:u w:val="none"/>
      <w:shd w:val="clear" w:color="auto" w:fill="auto"/>
      <w:lang w:val="zh-TW" w:eastAsia="zh-TW" w:bidi="zh-TW"/>
    </w:rPr>
  </w:style>
  <w:style w:type="paragraph" w:customStyle="1" w:styleId="15">
    <w:name w:val="Other|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2021-11-25T00:13:00Z</dcterms:created>
  <dc:creator>微软用户</dc:creator>
  <cp:lastModifiedBy>Administrator</cp:lastModifiedBy>
  <cp:lastPrinted>2024-04-07T07:59:00Z</cp:lastPrinted>
  <dcterms:modified xsi:type="dcterms:W3CDTF">2024-04-08T03:13:39Z</dcterms:modified>
  <dc:title>厂房及净化工程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2052-12.1.0.16417</vt:lpwstr>
  </property>
  <property fmtid="{D5CDD505-2E9C-101B-9397-08002B2CF9AE}" pid="6" name="ICV">
    <vt:lpwstr>7EFD53F547FB4661BA25662044A989BA_13</vt:lpwstr>
  </property>
</Properties>
</file>